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after="0" w:line="660" w:lineRule="exact"/>
        <w:jc w:val="center"/>
        <w:rPr>
          <w:sz w:val="44"/>
          <w:szCs w:val="44"/>
        </w:rPr>
      </w:pPr>
      <w:r>
        <w:rPr>
          <w:rFonts w:ascii="Times New Roman" w:hAnsi="Times New Roman" w:eastAsia="方正小标宋简体"/>
          <w:sz w:val="44"/>
          <w:szCs w:val="44"/>
        </w:rPr>
        <w:t>关于《龙岩市优化公共设施管线接入</w:t>
      </w:r>
    </w:p>
    <w:p>
      <w:pPr>
        <w:spacing w:before="0" w:after="0" w:line="660" w:lineRule="exact"/>
        <w:jc w:val="center"/>
        <w:rPr>
          <w:sz w:val="44"/>
          <w:szCs w:val="44"/>
        </w:rPr>
      </w:pPr>
      <w:r>
        <w:rPr>
          <w:rFonts w:ascii="Times New Roman" w:hAnsi="Times New Roman" w:eastAsia="方正小标宋简体"/>
          <w:sz w:val="44"/>
          <w:szCs w:val="44"/>
        </w:rPr>
        <w:t>服务占道挖掘施工审批工作方案</w:t>
      </w:r>
    </w:p>
    <w:p>
      <w:pPr>
        <w:spacing w:before="0" w:after="0" w:line="660" w:lineRule="exact"/>
        <w:jc w:val="center"/>
        <w:rPr>
          <w:sz w:val="44"/>
          <w:szCs w:val="44"/>
        </w:rPr>
      </w:pPr>
      <w:r>
        <w:rPr>
          <w:rFonts w:ascii="Times New Roman" w:hAnsi="Times New Roman" w:eastAsia="方正小标宋简体"/>
          <w:sz w:val="44"/>
          <w:szCs w:val="44"/>
        </w:rPr>
        <w:t>（征求意见稿）》的起草说明</w:t>
      </w:r>
    </w:p>
    <w:p>
      <w:pPr>
        <w:spacing w:before="0" w:after="0" w:line="576" w:lineRule="exact"/>
        <w:jc w:val="both"/>
      </w:pPr>
    </w:p>
    <w:p>
      <w:pPr>
        <w:spacing w:before="0" w:after="0" w:line="576" w:lineRule="exact"/>
        <w:ind w:firstLine="640"/>
        <w:jc w:val="both"/>
        <w:rPr>
          <w:rFonts w:hint="eastAsia" w:ascii="仿宋_GB2312" w:hAnsi="仿宋_GB2312" w:eastAsia="仿宋_GB2312" w:cs="仿宋_GB2312"/>
        </w:rPr>
      </w:pPr>
      <w:r>
        <w:rPr>
          <w:rFonts w:hint="eastAsia" w:ascii="仿宋_GB2312" w:hAnsi="仿宋_GB2312" w:eastAsia="仿宋_GB2312" w:cs="仿宋_GB2312"/>
          <w:sz w:val="32"/>
        </w:rPr>
        <w:t>为深入贯彻落实党中央、国务院关于深化“放管服”改革、优化营商环境的决策部署和省委、省政府、市委、市政府工作要求，进一步优化我市电力、供水、供气等公共设施管线接入服务，规范占道挖掘施工审批，有效压缩办理时限，助力我市获得电力、用水、用气营商环</w:t>
      </w:r>
      <w:bookmarkStart w:id="0" w:name="_GoBack"/>
      <w:bookmarkEnd w:id="0"/>
      <w:r>
        <w:rPr>
          <w:rFonts w:hint="eastAsia" w:ascii="仿宋_GB2312" w:hAnsi="仿宋_GB2312" w:eastAsia="仿宋_GB2312" w:cs="仿宋_GB2312"/>
          <w:sz w:val="32"/>
        </w:rPr>
        <w:t>境提质增效，根据《中华人民共和国道路交通安全法》《城市道路管理条例》《城镇燃气管理条例》《优化营商环境条例》《福建省优化营商环境条例》等法律法规和《国务院办公厅转发国家发展改革委等部门关于清理规范城镇供水供电供气供暖行业收费促进行业高质量发展意见的通知》（国办函〔2020〕129号）、《福建省人民政府办公厅转发省发改委等部门关于清理规范城镇供水供电供气行业收费促进行业高质量发展实施方案的通知》（闽政办〔2021〕37号）等文件精神，结合我市实际，市城市管理局会同市工业和信息化局、市公安局、市自然资源局、市住房和</w:t>
      </w:r>
      <w:r>
        <w:rPr>
          <w:rFonts w:hint="eastAsia" w:ascii="仿宋_GB2312" w:hAnsi="仿宋_GB2312" w:eastAsia="仿宋_GB2312" w:cs="仿宋_GB2312"/>
          <w:sz w:val="32"/>
          <w:lang w:eastAsia="zh-CN"/>
        </w:rPr>
        <w:t>城乡建设</w:t>
      </w:r>
      <w:r>
        <w:rPr>
          <w:rFonts w:hint="eastAsia" w:ascii="仿宋_GB2312" w:hAnsi="仿宋_GB2312" w:eastAsia="仿宋_GB2312" w:cs="仿宋_GB2312"/>
          <w:sz w:val="32"/>
        </w:rPr>
        <w:t>局、国网龙岩供电公司等部门，研究起草了《龙岩市优化公共设施管线接入服务占道挖掘施工审批工作方案》（以下简称《工作方案》）。现将有关情况说明如下。</w:t>
      </w:r>
    </w:p>
    <w:p>
      <w:pPr>
        <w:spacing w:before="0" w:after="0" w:line="576" w:lineRule="exact"/>
        <w:ind w:firstLine="640"/>
        <w:jc w:val="both"/>
      </w:pPr>
      <w:r>
        <w:rPr>
          <w:rFonts w:ascii="Times New Roman" w:hAnsi="Times New Roman" w:eastAsia="黑体"/>
          <w:sz w:val="32"/>
        </w:rPr>
        <w:t>一、起草背景和必要性</w:t>
      </w:r>
    </w:p>
    <w:p>
      <w:pPr>
        <w:spacing w:before="0" w:after="0" w:line="576" w:lineRule="exact"/>
        <w:ind w:firstLine="640"/>
        <w:jc w:val="both"/>
        <w:rPr>
          <w:rFonts w:hint="eastAsia" w:ascii="仿宋_GB2312" w:hAnsi="仿宋_GB2312" w:eastAsia="仿宋_GB2312" w:cs="仿宋_GB2312"/>
          <w:sz w:val="32"/>
        </w:rPr>
      </w:pPr>
      <w:r>
        <w:rPr>
          <w:rFonts w:ascii="Times New Roman" w:hAnsi="Times New Roman" w:eastAsia="楷体_GB2312"/>
          <w:b/>
          <w:bCs/>
          <w:sz w:val="32"/>
        </w:rPr>
        <w:t>（一）贯彻落实上级决策部署的需要。</w:t>
      </w:r>
      <w:r>
        <w:rPr>
          <w:rFonts w:hint="eastAsia" w:ascii="仿宋_GB2312" w:hAnsi="仿宋_GB2312" w:eastAsia="仿宋_GB2312" w:cs="仿宋_GB2312"/>
          <w:sz w:val="32"/>
        </w:rPr>
        <w:t>党中央、国务院持续深化“放管服”改革，将优化营商环境作为激发市场活力、推动高质量发展的重要举措。国家发展改革委、国家能源局印发《关于全面提升“获得电力”服务水平持续优化用电营商环境的意见》（发改能源规〔2020〕1479号），对压缩办电审批时限、优化电力接入服务提出明确要求；国务院办公厅、省政府办公厅先后印发文件，部署清理规范城镇供水供电供气行业收费、促进行业高质量发展。优化公共设施管线接入服务占道挖掘施工审批，是落实上述部署要求、提升公共服务水平的具体举措。</w:t>
      </w:r>
    </w:p>
    <w:p>
      <w:pPr>
        <w:spacing w:before="0" w:after="0" w:line="576" w:lineRule="exact"/>
        <w:ind w:firstLine="640"/>
        <w:jc w:val="both"/>
        <w:rPr>
          <w:rFonts w:hint="eastAsia" w:ascii="CESI仿宋-GB13000" w:hAnsi="CESI仿宋-GB13000" w:eastAsia="CESI仿宋-GB13000" w:cs="CESI仿宋-GB13000"/>
          <w:sz w:val="32"/>
        </w:rPr>
      </w:pPr>
      <w:r>
        <w:rPr>
          <w:rFonts w:ascii="Times New Roman" w:hAnsi="Times New Roman" w:eastAsia="楷体_GB2312"/>
          <w:b/>
          <w:bCs/>
          <w:sz w:val="32"/>
        </w:rPr>
        <w:t>（二）解决企业群众实际诉求的需要。</w:t>
      </w:r>
      <w:r>
        <w:rPr>
          <w:rFonts w:hint="eastAsia" w:ascii="仿宋_GB2312" w:hAnsi="仿宋_GB2312" w:eastAsia="仿宋_GB2312" w:cs="仿宋_GB2312"/>
          <w:sz w:val="32"/>
        </w:rPr>
        <w:t>当前，企业、个体工商户用电、用水、用气接入工程涉及占道挖掘施工审批，存在审批环节较多、涉及部门较多、办理时限较长等问题，一定程度上增加了企业办事成本，影响了公共设施接入效率。有必要通过推行代办服务、压缩审批时限、规范申请条件等措施，切实解决企业和群众办事“多头跑、多次跑”问题。</w:t>
      </w:r>
    </w:p>
    <w:p>
      <w:pPr>
        <w:spacing w:before="0" w:after="0" w:line="576" w:lineRule="exact"/>
        <w:ind w:firstLine="640"/>
        <w:jc w:val="both"/>
        <w:rPr>
          <w:rFonts w:hint="eastAsia" w:ascii="仿宋_GB2312" w:hAnsi="仿宋_GB2312" w:eastAsia="仿宋_GB2312" w:cs="仿宋_GB2312"/>
          <w:sz w:val="32"/>
        </w:rPr>
      </w:pPr>
      <w:r>
        <w:rPr>
          <w:rFonts w:ascii="Times New Roman" w:hAnsi="Times New Roman" w:eastAsia="楷体_GB2312"/>
          <w:b/>
          <w:bCs/>
          <w:sz w:val="32"/>
        </w:rPr>
        <w:t>（三）提升我市营商环境竞争力的需要。</w:t>
      </w:r>
      <w:r>
        <w:rPr>
          <w:rFonts w:hint="eastAsia" w:ascii="仿宋_GB2312" w:hAnsi="仿宋_GB2312" w:eastAsia="仿宋_GB2312" w:cs="仿宋_GB2312"/>
          <w:sz w:val="32"/>
        </w:rPr>
        <w:t>“获得电力”“获得用水”“获得用气”是营商环境评价的重要指标，管线工程挖掘占道审批是其重要组成环节。制定实施《工作方案》，有利于进一步压缩办理时限、降低制度性交易成本，提高企业和群众办事的便利度、快捷度、满意度，助力我市营商环境持续优化。</w:t>
      </w:r>
    </w:p>
    <w:p>
      <w:pPr>
        <w:spacing w:before="0" w:after="0" w:line="576" w:lineRule="exact"/>
        <w:ind w:firstLine="640"/>
        <w:jc w:val="both"/>
      </w:pPr>
      <w:r>
        <w:rPr>
          <w:rFonts w:ascii="Times New Roman" w:hAnsi="Times New Roman" w:eastAsia="黑体"/>
          <w:sz w:val="32"/>
        </w:rPr>
        <w:t>二、起草依据</w:t>
      </w:r>
    </w:p>
    <w:p>
      <w:pPr>
        <w:spacing w:before="0" w:after="0" w:line="576" w:lineRule="exact"/>
        <w:ind w:firstLine="640"/>
        <w:jc w:val="both"/>
        <w:rPr>
          <w:rFonts w:hint="eastAsia" w:ascii="仿宋_GB2312" w:hAnsi="仿宋_GB2312" w:eastAsia="仿宋_GB2312" w:cs="仿宋_GB2312"/>
        </w:rPr>
      </w:pPr>
      <w:r>
        <w:rPr>
          <w:rFonts w:ascii="Times New Roman" w:hAnsi="Times New Roman" w:eastAsia="楷体_GB2312"/>
          <w:b/>
          <w:bCs/>
          <w:sz w:val="32"/>
        </w:rPr>
        <w:t>（一）法律法规</w:t>
      </w:r>
      <w:r>
        <w:rPr>
          <w:rFonts w:hint="eastAsia" w:ascii="Times New Roman" w:hAnsi="Times New Roman" w:eastAsia="楷体_GB2312"/>
          <w:b/>
          <w:bCs/>
          <w:sz w:val="32"/>
        </w:rPr>
        <w:t>。</w:t>
      </w:r>
      <w:r>
        <w:rPr>
          <w:rFonts w:hint="eastAsia" w:ascii="仿宋_GB2312" w:hAnsi="仿宋_GB2312" w:eastAsia="仿宋_GB2312" w:cs="仿宋_GB2312"/>
          <w:sz w:val="32"/>
        </w:rPr>
        <w:t>《中华人民共和国道路交通安全法》《城市道路管理条例》《城镇燃气管理条例》《优化营商环境条例》《福建省优化营商环境条例》等。</w:t>
      </w:r>
    </w:p>
    <w:p>
      <w:pPr>
        <w:spacing w:before="0" w:after="0" w:line="576" w:lineRule="exact"/>
        <w:ind w:firstLine="640"/>
        <w:jc w:val="both"/>
        <w:rPr>
          <w:rFonts w:hint="eastAsia" w:ascii="仿宋_GB2312" w:hAnsi="仿宋_GB2312" w:eastAsia="仿宋_GB2312" w:cs="仿宋_GB2312"/>
          <w:sz w:val="32"/>
        </w:rPr>
      </w:pPr>
      <w:r>
        <w:rPr>
          <w:rFonts w:hint="eastAsia" w:ascii="Times New Roman" w:hAnsi="Times New Roman" w:eastAsia="楷体_GB2312"/>
          <w:b/>
          <w:bCs/>
          <w:sz w:val="32"/>
        </w:rPr>
        <w:t>（二）政策文件。</w:t>
      </w:r>
      <w:r>
        <w:rPr>
          <w:rFonts w:hint="eastAsia" w:ascii="仿宋_GB2312" w:hAnsi="仿宋_GB2312" w:eastAsia="仿宋_GB2312" w:cs="仿宋_GB2312"/>
          <w:sz w:val="32"/>
        </w:rPr>
        <w:t>《国务院办公厅转发国家发展改革委等部门关于清理规范城镇供水供电供气供暖行业收费促进行业高质量发展意见的通知》（国办函〔2020〕129号）、《国家发展改革委</w:t>
      </w:r>
      <w:r>
        <w:rPr>
          <w:rFonts w:hint="eastAsia" w:ascii="仿宋_GB2312" w:hAnsi="仿宋_GB2312" w:cs="仿宋_GB2312"/>
          <w:sz w:val="32"/>
          <w:lang w:eastAsia="zh-CN"/>
        </w:rPr>
        <w:t>、</w:t>
      </w:r>
      <w:r>
        <w:rPr>
          <w:rFonts w:hint="eastAsia" w:ascii="仿宋_GB2312" w:hAnsi="仿宋_GB2312" w:eastAsia="仿宋_GB2312" w:cs="仿宋_GB2312"/>
          <w:sz w:val="32"/>
        </w:rPr>
        <w:t>国家能源局关于全面提升“获得电力”服务水平　持续优化用电营商环境的意见》（发改能源规〔2020〕1479号）、《福建省人民政府办公厅转发省发改委等部门关于清理规范城镇供水供电供气行业收费促进行业高质量发展实施方案的通知》（闽政办〔2021〕37号）等。</w:t>
      </w:r>
    </w:p>
    <w:p>
      <w:pPr>
        <w:spacing w:before="0" w:after="0" w:line="576" w:lineRule="exact"/>
        <w:ind w:firstLine="640"/>
        <w:jc w:val="both"/>
        <w:rPr>
          <w:rFonts w:hint="eastAsia" w:ascii="仿宋_GB2312" w:hAnsi="仿宋_GB2312" w:eastAsia="仿宋_GB2312" w:cs="仿宋_GB2312"/>
          <w:sz w:val="32"/>
        </w:rPr>
      </w:pPr>
      <w:r>
        <w:rPr>
          <w:rFonts w:hint="eastAsia" w:ascii="Times New Roman" w:hAnsi="Times New Roman" w:eastAsia="楷体_GB2312"/>
          <w:b/>
          <w:bCs/>
          <w:sz w:val="32"/>
        </w:rPr>
        <w:t>（三）标准规范。</w:t>
      </w:r>
      <w:r>
        <w:rPr>
          <w:rFonts w:hint="eastAsia" w:ascii="仿宋_GB2312" w:hAnsi="仿宋_GB2312" w:eastAsia="仿宋_GB2312" w:cs="仿宋_GB2312"/>
          <w:sz w:val="32"/>
        </w:rPr>
        <w:t>《福建省城市道路占用与挖掘管理标准》（闽建科〔2023〕66号）等。</w:t>
      </w:r>
    </w:p>
    <w:p>
      <w:pPr>
        <w:spacing w:before="0" w:after="0" w:line="576" w:lineRule="exact"/>
        <w:ind w:firstLine="640"/>
        <w:jc w:val="both"/>
        <w:rPr>
          <w:rFonts w:hint="eastAsia" w:ascii="Times New Roman" w:hAnsi="Times New Roman" w:eastAsia="黑体"/>
          <w:sz w:val="32"/>
        </w:rPr>
      </w:pPr>
      <w:r>
        <w:rPr>
          <w:rFonts w:hint="eastAsia" w:ascii="Times New Roman" w:hAnsi="Times New Roman" w:eastAsia="黑体"/>
          <w:sz w:val="32"/>
        </w:rPr>
        <w:t>三、起草过程</w:t>
      </w:r>
    </w:p>
    <w:p>
      <w:pPr>
        <w:spacing w:before="0" w:after="0" w:line="576" w:lineRule="exact"/>
        <w:ind w:firstLine="640"/>
        <w:jc w:val="both"/>
        <w:rPr>
          <w:rFonts w:hint="eastAsia" w:ascii="仿宋_GB2312" w:hAnsi="仿宋_GB2312" w:eastAsia="仿宋_GB2312" w:cs="仿宋_GB2312"/>
          <w:sz w:val="32"/>
        </w:rPr>
      </w:pPr>
      <w:r>
        <w:rPr>
          <w:rFonts w:hint="eastAsia" w:ascii="仿宋_GB2312" w:hAnsi="仿宋_GB2312" w:eastAsia="仿宋_GB2312" w:cs="仿宋_GB2312"/>
          <w:sz w:val="32"/>
        </w:rPr>
        <w:t>市城市管理局会同</w:t>
      </w:r>
      <w:r>
        <w:rPr>
          <w:rFonts w:hint="eastAsia" w:ascii="仿宋_GB2312" w:hAnsi="仿宋_GB2312" w:eastAsia="仿宋_GB2312" w:cs="仿宋_GB2312"/>
          <w:sz w:val="32"/>
        </w:rPr>
        <w:t>市工业和信息化局、市公安局、市自然资源局、市住房和</w:t>
      </w:r>
      <w:r>
        <w:rPr>
          <w:rFonts w:hint="eastAsia" w:ascii="仿宋_GB2312" w:hAnsi="仿宋_GB2312" w:eastAsia="仿宋_GB2312" w:cs="仿宋_GB2312"/>
          <w:sz w:val="32"/>
          <w:lang w:eastAsia="zh-CN"/>
        </w:rPr>
        <w:t>城乡建设</w:t>
      </w:r>
      <w:r>
        <w:rPr>
          <w:rFonts w:hint="eastAsia" w:ascii="仿宋_GB2312" w:hAnsi="仿宋_GB2312" w:eastAsia="仿宋_GB2312" w:cs="仿宋_GB2312"/>
          <w:sz w:val="32"/>
        </w:rPr>
        <w:t>局、国网龙岩供电公司等部门，在认真梳理现行占道挖掘施工审批流程、研究借鉴省内外先进地区经验做法的基础上，组织起草了《工作方案（征求意见稿）》并多次组织会商研究。在综合各方意见基础上，</w:t>
      </w:r>
      <w:r>
        <w:rPr>
          <w:rFonts w:hint="eastAsia" w:ascii="仿宋_GB2312" w:hAnsi="仿宋_GB2312" w:cs="仿宋_GB2312"/>
          <w:sz w:val="32"/>
          <w:lang w:eastAsia="zh-CN"/>
        </w:rPr>
        <w:t>形成</w:t>
      </w:r>
      <w:r>
        <w:rPr>
          <w:rFonts w:hint="eastAsia" w:ascii="仿宋_GB2312" w:hAnsi="仿宋_GB2312" w:eastAsia="仿宋_GB2312" w:cs="仿宋_GB2312"/>
          <w:sz w:val="32"/>
        </w:rPr>
        <w:t>《工作方案</w:t>
      </w:r>
      <w:r>
        <w:rPr>
          <w:rFonts w:hint="eastAsia" w:ascii="仿宋_GB2312" w:hAnsi="仿宋_GB2312" w:cs="仿宋_GB2312"/>
          <w:sz w:val="32"/>
          <w:lang w:eastAsia="zh-CN"/>
        </w:rPr>
        <w:t>（征求意见稿）</w:t>
      </w:r>
      <w:r>
        <w:rPr>
          <w:rFonts w:hint="eastAsia" w:ascii="仿宋_GB2312" w:hAnsi="仿宋_GB2312" w:eastAsia="仿宋_GB2312" w:cs="仿宋_GB2312"/>
          <w:sz w:val="32"/>
        </w:rPr>
        <w:t>》。</w:t>
      </w:r>
    </w:p>
    <w:p>
      <w:pPr>
        <w:spacing w:before="0" w:after="0" w:line="576" w:lineRule="exact"/>
        <w:ind w:firstLine="640"/>
        <w:jc w:val="both"/>
      </w:pPr>
      <w:r>
        <w:rPr>
          <w:rFonts w:ascii="Times New Roman" w:hAnsi="Times New Roman" w:eastAsia="黑体"/>
          <w:sz w:val="32"/>
        </w:rPr>
        <w:t>四、主要内容</w:t>
      </w:r>
    </w:p>
    <w:p>
      <w:pPr>
        <w:spacing w:before="0" w:after="0" w:line="576" w:lineRule="exact"/>
        <w:ind w:firstLine="640"/>
        <w:jc w:val="both"/>
        <w:rPr>
          <w:rFonts w:hint="eastAsia" w:ascii="仿宋_GB2312" w:hAnsi="仿宋_GB2312" w:eastAsia="仿宋_GB2312" w:cs="仿宋_GB2312"/>
          <w:sz w:val="32"/>
        </w:rPr>
      </w:pPr>
      <w:r>
        <w:rPr>
          <w:rFonts w:hint="eastAsia" w:ascii="仿宋_GB2312" w:hAnsi="仿宋_GB2312" w:eastAsia="仿宋_GB2312" w:cs="仿宋_GB2312"/>
          <w:sz w:val="32"/>
        </w:rPr>
        <w:t>《工作方案》共分四个部分，即总体要求、适用范围、具体要求、</w:t>
      </w:r>
      <w:r>
        <w:rPr>
          <w:rFonts w:hint="eastAsia" w:ascii="仿宋_GB2312" w:hAnsi="仿宋_GB2312" w:cs="仿宋_GB2312"/>
          <w:sz w:val="32"/>
          <w:lang w:eastAsia="zh-CN"/>
        </w:rPr>
        <w:t>工作要求</w:t>
      </w:r>
      <w:r>
        <w:rPr>
          <w:rFonts w:hint="eastAsia" w:ascii="仿宋_GB2312" w:hAnsi="仿宋_GB2312" w:eastAsia="仿宋_GB2312" w:cs="仿宋_GB2312"/>
          <w:sz w:val="32"/>
        </w:rPr>
        <w:t>。</w:t>
      </w:r>
    </w:p>
    <w:p>
      <w:pPr>
        <w:spacing w:before="0" w:after="0" w:line="576" w:lineRule="exact"/>
        <w:ind w:firstLine="640"/>
        <w:jc w:val="both"/>
        <w:rPr>
          <w:rFonts w:hint="eastAsia" w:ascii="仿宋_GB2312" w:hAnsi="仿宋_GB2312" w:eastAsia="仿宋_GB2312" w:cs="仿宋_GB2312"/>
          <w:sz w:val="32"/>
        </w:rPr>
      </w:pPr>
      <w:r>
        <w:rPr>
          <w:rFonts w:hint="eastAsia" w:ascii="楷体_GB2312" w:hAnsi="楷体_GB2312" w:eastAsia="楷体_GB2312" w:cs="楷体_GB2312"/>
          <w:b/>
          <w:bCs/>
          <w:sz w:val="32"/>
        </w:rPr>
        <w:t>（一）关于总体要求。</w:t>
      </w:r>
      <w:r>
        <w:rPr>
          <w:rFonts w:hint="eastAsia" w:ascii="仿宋_GB2312" w:hAnsi="仿宋_GB2312" w:eastAsia="仿宋_GB2312" w:cs="仿宋_GB2312"/>
          <w:sz w:val="32"/>
        </w:rPr>
        <w:t>明确以优化龙岩区域内电力、供水、供气等公共设施管线接入服务占道挖掘施工审批为目标，有效压缩办理时限，助力我市获得电力、用水、用气营商环境提质增效。</w:t>
      </w:r>
    </w:p>
    <w:p>
      <w:pPr>
        <w:spacing w:before="0" w:after="0" w:line="576" w:lineRule="exact"/>
        <w:ind w:firstLine="640"/>
        <w:jc w:val="both"/>
        <w:rPr>
          <w:rFonts w:hint="eastAsia" w:ascii="仿宋_GB2312" w:hAnsi="仿宋_GB2312" w:eastAsia="仿宋_GB2312" w:cs="仿宋_GB2312"/>
          <w:sz w:val="32"/>
        </w:rPr>
      </w:pPr>
      <w:r>
        <w:rPr>
          <w:rFonts w:hint="eastAsia" w:ascii="楷体_GB2312" w:hAnsi="楷体_GB2312" w:eastAsia="楷体_GB2312" w:cs="楷体_GB2312"/>
          <w:b/>
          <w:bCs/>
          <w:sz w:val="32"/>
        </w:rPr>
        <w:t>（二）关于适用范围。</w:t>
      </w:r>
      <w:r>
        <w:rPr>
          <w:rFonts w:hint="eastAsia" w:ascii="仿宋_GB2312" w:hAnsi="仿宋_GB2312" w:eastAsia="仿宋_GB2312" w:cs="仿宋_GB2312"/>
          <w:sz w:val="32"/>
        </w:rPr>
        <w:t>明确适用于为满足企业或个体工商户用电、用水、用气需求实施的占道挖掘施工工程，并区分小型开挖工程和一般工程分类管理。</w:t>
      </w:r>
    </w:p>
    <w:p>
      <w:pPr>
        <w:spacing w:before="0" w:after="0" w:line="576" w:lineRule="exact"/>
        <w:ind w:firstLine="640"/>
        <w:jc w:val="both"/>
        <w:rPr>
          <w:rFonts w:hint="eastAsia" w:ascii="仿宋_GB2312" w:hAnsi="仿宋_GB2312" w:eastAsia="仿宋_GB2312" w:cs="仿宋_GB2312"/>
          <w:sz w:val="32"/>
          <w:lang w:eastAsia="zh-CN"/>
        </w:rPr>
      </w:pPr>
      <w:r>
        <w:rPr>
          <w:rFonts w:hint="eastAsia" w:ascii="楷体_GB2312" w:hAnsi="楷体_GB2312" w:eastAsia="楷体_GB2312" w:cs="楷体_GB2312"/>
          <w:b/>
          <w:bCs/>
          <w:sz w:val="32"/>
        </w:rPr>
        <w:t>（三）</w:t>
      </w:r>
      <w:r>
        <w:rPr>
          <w:rFonts w:hint="eastAsia" w:ascii="楷体_GB2312" w:hAnsi="楷体_GB2312" w:eastAsia="楷体_GB2312" w:cs="楷体_GB2312"/>
          <w:b/>
          <w:bCs/>
          <w:sz w:val="32"/>
          <w:lang w:eastAsia="zh-CN"/>
        </w:rPr>
        <w:t>关于具体要求。</w:t>
      </w:r>
      <w:r>
        <w:rPr>
          <w:rFonts w:hint="eastAsia" w:ascii="仿宋_GB2312" w:hAnsi="仿宋_GB2312" w:eastAsia="仿宋_GB2312" w:cs="仿宋_GB2312"/>
          <w:sz w:val="32"/>
          <w:lang w:eastAsia="zh-CN"/>
        </w:rPr>
        <w:t>为优化营商环境，</w:t>
      </w:r>
      <w:r>
        <w:rPr>
          <w:rFonts w:hint="eastAsia" w:ascii="仿宋_GB2312" w:hAnsi="仿宋_GB2312" w:cs="仿宋_GB2312"/>
          <w:sz w:val="32"/>
          <w:lang w:eastAsia="zh-CN"/>
        </w:rPr>
        <w:t>提出全程代办审批服务、压缩审批时限、规范申请条件等具体要求，进一步减轻企业负担、优化办事流程，</w:t>
      </w:r>
      <w:r>
        <w:rPr>
          <w:rFonts w:hint="eastAsia" w:ascii="仿宋_GB2312" w:hAnsi="仿宋_GB2312" w:eastAsia="仿宋_GB2312" w:cs="仿宋_GB2312"/>
          <w:sz w:val="32"/>
        </w:rPr>
        <w:t>提高企业和群众办事的便利度、快捷度、满意度</w:t>
      </w:r>
      <w:r>
        <w:rPr>
          <w:rFonts w:hint="eastAsia" w:ascii="仿宋_GB2312" w:hAnsi="仿宋_GB2312" w:cs="仿宋_GB2312"/>
          <w:sz w:val="32"/>
          <w:lang w:eastAsia="zh-CN"/>
        </w:rPr>
        <w:t>。</w:t>
      </w:r>
    </w:p>
    <w:p>
      <w:pPr>
        <w:spacing w:before="0" w:after="0" w:line="576" w:lineRule="exact"/>
        <w:ind w:firstLine="640"/>
        <w:jc w:val="both"/>
        <w:rPr>
          <w:rFonts w:hint="eastAsia" w:ascii="仿宋_GB2312" w:hAnsi="仿宋_GB2312" w:eastAsia="仿宋_GB2312" w:cs="仿宋_GB2312"/>
          <w:sz w:val="32"/>
          <w:lang w:val="en-US" w:eastAsia="zh-CN"/>
        </w:rPr>
      </w:pPr>
      <w:r>
        <w:rPr>
          <w:rFonts w:hint="eastAsia" w:ascii="楷体_GB2312" w:hAnsi="楷体_GB2312" w:eastAsia="楷体_GB2312" w:cs="楷体_GB2312"/>
          <w:b/>
          <w:bCs/>
          <w:sz w:val="32"/>
          <w:lang w:eastAsia="zh-CN"/>
        </w:rPr>
        <w:t>（四）关于</w:t>
      </w:r>
      <w:r>
        <w:rPr>
          <w:rFonts w:hint="eastAsia" w:ascii="楷体_GB2312" w:hAnsi="楷体_GB2312" w:eastAsia="楷体_GB2312" w:cs="楷体_GB2312"/>
          <w:b/>
          <w:bCs/>
          <w:sz w:val="32"/>
          <w:lang w:val="en-US" w:eastAsia="zh-CN"/>
        </w:rPr>
        <w:t>工作要求</w:t>
      </w:r>
      <w:r>
        <w:rPr>
          <w:rFonts w:hint="eastAsia" w:ascii="楷体_GB2312" w:hAnsi="楷体_GB2312" w:eastAsia="楷体_GB2312" w:cs="楷体_GB2312"/>
          <w:b/>
          <w:bCs/>
          <w:sz w:val="32"/>
          <w:lang w:eastAsia="zh-CN"/>
        </w:rPr>
        <w:t>。</w:t>
      </w:r>
      <w:r>
        <w:rPr>
          <w:rFonts w:hint="eastAsia" w:ascii="仿宋_GB2312" w:hAnsi="仿宋_GB2312" w:eastAsia="仿宋_GB2312" w:cs="仿宋_GB2312"/>
          <w:sz w:val="32"/>
          <w:lang w:val="en-US" w:eastAsia="zh-CN"/>
        </w:rPr>
        <w:t>各主管部门、电水气供应企业</w:t>
      </w:r>
      <w:r>
        <w:rPr>
          <w:rFonts w:hint="eastAsia" w:ascii="仿宋_GB2312" w:hAnsi="仿宋_GB2312" w:eastAsia="仿宋_GB2312" w:cs="仿宋_GB2312"/>
          <w:sz w:val="32"/>
        </w:rPr>
        <w:t>需强化服务意识，创新审批举措，加强代办监管与人员培训，公开审批流程及时限标准，</w:t>
      </w:r>
      <w:r>
        <w:rPr>
          <w:rFonts w:hint="eastAsia" w:ascii="仿宋_GB2312" w:hAnsi="仿宋_GB2312" w:cs="仿宋_GB2312"/>
          <w:sz w:val="32"/>
          <w:lang w:eastAsia="zh-CN"/>
        </w:rPr>
        <w:t>为企业和群众办事提供更加便捷的服务</w:t>
      </w:r>
      <w:r>
        <w:rPr>
          <w:rFonts w:hint="eastAsia" w:ascii="仿宋_GB2312" w:hAnsi="仿宋_GB2312" w:eastAsia="仿宋_GB2312" w:cs="仿宋_GB2312"/>
          <w:sz w:val="32"/>
        </w:rPr>
        <w:t>。</w:t>
      </w:r>
    </w:p>
    <w:p>
      <w:pPr>
        <w:spacing w:before="0" w:after="0" w:line="576" w:lineRule="exact"/>
        <w:ind w:firstLine="640"/>
        <w:jc w:val="both"/>
      </w:pPr>
      <w:r>
        <w:rPr>
          <w:rFonts w:ascii="Times New Roman" w:hAnsi="Times New Roman" w:eastAsia="黑体"/>
          <w:sz w:val="32"/>
        </w:rPr>
        <w:t>五、其他需要说明的事项</w:t>
      </w:r>
    </w:p>
    <w:p>
      <w:pPr>
        <w:spacing w:before="0" w:after="0" w:line="576" w:lineRule="exact"/>
        <w:ind w:firstLine="640"/>
        <w:jc w:val="both"/>
        <w:rPr>
          <w:rFonts w:hint="eastAsia" w:ascii="仿宋_GB2312" w:hAnsi="仿宋_GB2312" w:eastAsia="仿宋_GB2312" w:cs="仿宋_GB2312"/>
          <w:sz w:val="32"/>
        </w:rPr>
      </w:pPr>
      <w:r>
        <w:rPr>
          <w:rFonts w:hint="eastAsia" w:ascii="仿宋_GB2312" w:hAnsi="仿宋_GB2312" w:eastAsia="仿宋_GB2312" w:cs="仿宋_GB2312"/>
          <w:sz w:val="32"/>
        </w:rPr>
        <w:t>一是《工作方案》内容与上位法律法规和上级政策文件保持一致，未设定新的行政许可、行政处罚等行政权力事项，未增加公民、法人和其他组织义务。</w:t>
      </w:r>
    </w:p>
    <w:p>
      <w:pPr>
        <w:spacing w:before="0" w:after="0" w:line="576" w:lineRule="exact"/>
        <w:ind w:firstLine="640"/>
        <w:jc w:val="both"/>
        <w:rPr>
          <w:rFonts w:hint="eastAsia" w:ascii="仿宋_GB2312" w:hAnsi="仿宋_GB2312" w:eastAsia="仿宋_GB2312" w:cs="仿宋_GB2312"/>
          <w:sz w:val="32"/>
        </w:rPr>
      </w:pPr>
      <w:r>
        <w:rPr>
          <w:rFonts w:hint="eastAsia" w:ascii="仿宋_GB2312" w:hAnsi="仿宋_GB2312" w:eastAsia="仿宋_GB2312" w:cs="仿宋_GB2312"/>
          <w:sz w:val="32"/>
        </w:rPr>
        <w:t>二是《工作方案》经审议通过后，拟由市城市管理局、市工业和信息化局、市公安局、市自然资源局、市住房和</w:t>
      </w:r>
      <w:r>
        <w:rPr>
          <w:rFonts w:hint="eastAsia" w:ascii="仿宋_GB2312" w:hAnsi="仿宋_GB2312" w:eastAsia="仿宋_GB2312" w:cs="仿宋_GB2312"/>
          <w:sz w:val="32"/>
          <w:lang w:eastAsia="zh-CN"/>
        </w:rPr>
        <w:t>城乡建设</w:t>
      </w:r>
      <w:r>
        <w:rPr>
          <w:rFonts w:hint="eastAsia" w:ascii="仿宋_GB2312" w:hAnsi="仿宋_GB2312" w:eastAsia="仿宋_GB2312" w:cs="仿宋_GB2312"/>
          <w:sz w:val="32"/>
        </w:rPr>
        <w:t>局、国网龙岩供电公司联合印发实施，并同步做好政策宣传解读和窗口一线人员培训工作。</w:t>
      </w:r>
    </w:p>
    <w:sectPr>
      <w:pgSz w:w="11906" w:h="16838"/>
      <w:pgMar w:top="2098" w:right="1474" w:bottom="1984" w:left="1587"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ＭＳ ゴシック">
    <w:altName w:val="方正书宋_GBK"/>
    <w:panose1 w:val="00000000000000000000"/>
    <w:charset w:val="80"/>
    <w:family w:val="modern"/>
    <w:pitch w:val="default"/>
    <w:sig w:usb0="00000000" w:usb1="00000000" w:usb2="00000010" w:usb3="00000000" w:csb0="00020000" w:csb1="00000000"/>
  </w:font>
  <w:font w:name="Courier">
    <w:altName w:val="DejaVu Math TeX Gyre"/>
    <w:panose1 w:val="02000500000000000000"/>
    <w:charset w:val="00"/>
    <w:family w:val="auto"/>
    <w:pitch w:val="default"/>
    <w:sig w:usb0="00000000" w:usb1="00000000" w:usb2="00000000" w:usb3="00000000" w:csb0="00000001" w:csb1="00000000"/>
  </w:font>
  <w:font w:name="ＭＳ 明朝">
    <w:altName w:val="方正书宋_GBK"/>
    <w:panose1 w:val="00000000000000000000"/>
    <w:charset w:val="80"/>
    <w:family w:val="roman"/>
    <w:pitch w:val="default"/>
    <w:sig w:usb0="00000000" w:usb1="00000000" w:usb2="00000010" w:usb3="00000000" w:csb0="00020000" w:csb1="00000000"/>
  </w:font>
  <w:font w:name="方正仿宋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auto"/>
    <w:pitch w:val="default"/>
    <w:sig w:usb0="00000000" w:usb1="00000000" w:usb2="00000000" w:usb3="00000000" w:csb0="0000019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CESI仿宋-GB13000">
    <w:panose1 w:val="02000500000000000000"/>
    <w:charset w:val="86"/>
    <w:family w:val="auto"/>
    <w:pitch w:val="default"/>
    <w:sig w:usb0="800002BF" w:usb1="18CF7CF8" w:usb2="00000016" w:usb3="00000000" w:csb0="0004000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FreeSerif">
    <w:panose1 w:val="02020603050405020304"/>
    <w:charset w:val="00"/>
    <w:family w:val="auto"/>
    <w:pitch w:val="default"/>
    <w:sig w:usb0="E59FAFFF" w:usb1="C200FDFF" w:usb2="43501B29" w:usb3="04000043" w:csb0="6001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false"/>
  <w:bordersDoNotSurroundFooter w:val="false"/>
  <w:documentProtection w:enforcement="0"/>
  <w:defaultTabStop w:val="720"/>
  <w:displayHorizontalDrawingGridEvery w:val="1"/>
  <w:displayVerticalDrawingGridEvery w:val="1"/>
  <w:noPunctuationKerning w:val="true"/>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63396B42"/>
    <w:rsid w:val="7FBF0FCF"/>
    <w:rsid w:val="F99D1D85"/>
    <w:rsid w:val="FFFAC68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before="0" w:after="0" w:line="576" w:lineRule="exact"/>
    </w:pPr>
    <w:rPr>
      <w:rFonts w:ascii="Times New Roman" w:hAnsi="Times New Roman" w:eastAsia="仿宋_GB2312" w:cstheme="minorBidi"/>
      <w:sz w:val="32"/>
      <w:szCs w:val="22"/>
      <w:lang w:val="en-US" w:eastAsia="en-US" w:bidi="ar-SA"/>
    </w:rPr>
  </w:style>
  <w:style w:type="paragraph" w:styleId="3">
    <w:name w:val="heading 1"/>
    <w:basedOn w:val="1"/>
    <w:next w:val="1"/>
    <w:link w:val="140"/>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41"/>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2"/>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2"/>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3"/>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4"/>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5"/>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6"/>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7"/>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3">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2">
    <w:name w:val="macro"/>
    <w:link w:val="149"/>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8"/>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6"/>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8"/>
    <w:unhideWhenUsed/>
    <w:qFormat/>
    <w:uiPriority w:val="99"/>
    <w:pPr>
      <w:tabs>
        <w:tab w:val="center" w:pos="4680"/>
        <w:tab w:val="right" w:pos="9360"/>
      </w:tabs>
      <w:spacing w:after="0" w:line="240" w:lineRule="auto"/>
    </w:pPr>
  </w:style>
  <w:style w:type="paragraph" w:styleId="25">
    <w:name w:val="header"/>
    <w:basedOn w:val="1"/>
    <w:link w:val="137"/>
    <w:unhideWhenUsed/>
    <w:qFormat/>
    <w:uiPriority w:val="99"/>
    <w:pPr>
      <w:tabs>
        <w:tab w:val="center" w:pos="4680"/>
        <w:tab w:val="right" w:pos="9360"/>
      </w:tabs>
      <w:spacing w:after="0" w:line="240" w:lineRule="auto"/>
    </w:pPr>
  </w:style>
  <w:style w:type="paragraph" w:styleId="26">
    <w:name w:val="Subtitle"/>
    <w:basedOn w:val="1"/>
    <w:next w:val="1"/>
    <w:link w:val="144"/>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7"/>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31">
    <w:name w:val="List Continue 3"/>
    <w:basedOn w:val="1"/>
    <w:unhideWhenUsed/>
    <w:qFormat/>
    <w:uiPriority w:val="99"/>
    <w:pPr>
      <w:spacing w:after="120"/>
      <w:ind w:left="1080"/>
      <w:contextualSpacing/>
    </w:pPr>
  </w:style>
  <w:style w:type="paragraph" w:styleId="32">
    <w:name w:val="Title"/>
    <w:basedOn w:val="1"/>
    <w:next w:val="1"/>
    <w:link w:val="143"/>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4">
    <w:name w:val="Table Grid"/>
    <w:basedOn w:val="3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5">
    <w:name w:val="Light Shading"/>
    <w:basedOn w:val="33"/>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6">
    <w:name w:val="Light Shading Accent 1"/>
    <w:basedOn w:val="33"/>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7">
    <w:name w:val="Light Shading Accent 2"/>
    <w:basedOn w:val="33"/>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8">
    <w:name w:val="Light Shading Accent 3"/>
    <w:basedOn w:val="33"/>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9">
    <w:name w:val="Light Shading Accent 4"/>
    <w:basedOn w:val="33"/>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0">
    <w:name w:val="Light Shading Accent 5"/>
    <w:basedOn w:val="33"/>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1">
    <w:name w:val="Light Shading Accent 6"/>
    <w:basedOn w:val="33"/>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2">
    <w:name w:val="Light List"/>
    <w:basedOn w:val="33"/>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3">
    <w:name w:val="Light List Accent 1"/>
    <w:basedOn w:val="33"/>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4">
    <w:name w:val="Light List Accent 2"/>
    <w:basedOn w:val="33"/>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5">
    <w:name w:val="Light List Accent 3"/>
    <w:basedOn w:val="33"/>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6">
    <w:name w:val="Light List Accent 4"/>
    <w:basedOn w:val="33"/>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7">
    <w:name w:val="Light List Accent 5"/>
    <w:basedOn w:val="33"/>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8">
    <w:name w:val="Light List Accent 6"/>
    <w:basedOn w:val="33"/>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9">
    <w:name w:val="Light Grid"/>
    <w:basedOn w:val="33"/>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0">
    <w:name w:val="Light Grid Accent 1"/>
    <w:basedOn w:val="33"/>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1">
    <w:name w:val="Light Grid Accent 2"/>
    <w:basedOn w:val="33"/>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2">
    <w:name w:val="Light Grid Accent 3"/>
    <w:basedOn w:val="33"/>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3">
    <w:name w:val="Light Grid Accent 4"/>
    <w:basedOn w:val="33"/>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4">
    <w:name w:val="Light Grid Accent 5"/>
    <w:basedOn w:val="33"/>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5">
    <w:name w:val="Light Grid Accent 6"/>
    <w:basedOn w:val="33"/>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6">
    <w:name w:val="Medium Shading 1"/>
    <w:basedOn w:val="33"/>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7">
    <w:name w:val="Medium Shading 1 Accent 1"/>
    <w:basedOn w:val="33"/>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8">
    <w:name w:val="Medium Shading 1 Accent 2"/>
    <w:basedOn w:val="33"/>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9">
    <w:name w:val="Medium Shading 1 Accent 3"/>
    <w:basedOn w:val="33"/>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0">
    <w:name w:val="Medium Shading 1 Accent 4"/>
    <w:basedOn w:val="33"/>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1">
    <w:name w:val="Medium Shading 1 Accent 5"/>
    <w:basedOn w:val="33"/>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2">
    <w:name w:val="Medium Shading 1 Accent 6"/>
    <w:basedOn w:val="33"/>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3">
    <w:name w:val="Medium Shading 2"/>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1"/>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2"/>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3"/>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4"/>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5"/>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6"/>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List 1"/>
    <w:basedOn w:val="33"/>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1">
    <w:name w:val="Medium List 1 Accent 1"/>
    <w:basedOn w:val="33"/>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2">
    <w:name w:val="Medium List 1 Accent 2"/>
    <w:basedOn w:val="33"/>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3">
    <w:name w:val="Medium List 1 Accent 3"/>
    <w:basedOn w:val="33"/>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4">
    <w:name w:val="Medium List 1 Accent 4"/>
    <w:basedOn w:val="33"/>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5">
    <w:name w:val="Medium List 1 Accent 5"/>
    <w:basedOn w:val="33"/>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6">
    <w:name w:val="Medium List 1 Accent 6"/>
    <w:basedOn w:val="33"/>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7">
    <w:name w:val="Medium List 2"/>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1"/>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2"/>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3"/>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4"/>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5"/>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6"/>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Grid 1"/>
    <w:basedOn w:val="33"/>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5">
    <w:name w:val="Medium Grid 1 Accent 1"/>
    <w:basedOn w:val="33"/>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6">
    <w:name w:val="Medium Grid 1 Accent 2"/>
    <w:basedOn w:val="33"/>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7">
    <w:name w:val="Medium Grid 1 Accent 3"/>
    <w:basedOn w:val="33"/>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8">
    <w:name w:val="Medium Grid 1 Accent 4"/>
    <w:basedOn w:val="33"/>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9">
    <w:name w:val="Medium Grid 1 Accent 5"/>
    <w:basedOn w:val="33"/>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0">
    <w:name w:val="Medium Grid 1 Accent 6"/>
    <w:basedOn w:val="33"/>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2">
    <w:name w:val="Medium Grid 2 Accent 1"/>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3">
    <w:name w:val="Medium Grid 2 Accent 2"/>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8">
    <w:name w:val="Medium Grid 3"/>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9">
    <w:name w:val="Medium Grid 3 Accent 1"/>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0">
    <w:name w:val="Medium Grid 3 Accent 2"/>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1">
    <w:name w:val="Medium Grid 3 Accent 3"/>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2">
    <w:name w:val="Medium Grid 3 Accent 4"/>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3">
    <w:name w:val="Medium Grid 3 Accent 5"/>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4">
    <w:name w:val="Medium Grid 3 Accent 6"/>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5">
    <w:name w:val="Dark List"/>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6">
    <w:name w:val="Dark List Accent 1"/>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7">
    <w:name w:val="Dark List Accent 2"/>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8">
    <w:name w:val="Dark List Accent 3"/>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9">
    <w:name w:val="Dark List Accent 4"/>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0">
    <w:name w:val="Dark List Accent 5"/>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1">
    <w:name w:val="Dark List Accent 6"/>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2">
    <w:name w:val="Colorful Shading"/>
    <w:basedOn w:val="33"/>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1"/>
    <w:basedOn w:val="33"/>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2"/>
    <w:basedOn w:val="33"/>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3"/>
    <w:basedOn w:val="33"/>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6">
    <w:name w:val="Colorful Shading Accent 4"/>
    <w:basedOn w:val="33"/>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5"/>
    <w:basedOn w:val="33"/>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6"/>
    <w:basedOn w:val="33"/>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List"/>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0">
    <w:name w:val="Colorful List Accent 1"/>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1">
    <w:name w:val="Colorful List Accent 2"/>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2">
    <w:name w:val="Colorful List Accent 3"/>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3">
    <w:name w:val="Colorful List Accent 4"/>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4">
    <w:name w:val="Colorful List Accent 5"/>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5">
    <w:name w:val="Colorful List Accent 6"/>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6">
    <w:name w:val="Colorful Grid"/>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7">
    <w:name w:val="Colorful Grid Accent 1"/>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8">
    <w:name w:val="Colorful Grid Accent 2"/>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9">
    <w:name w:val="Colorful Grid Accent 3"/>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0">
    <w:name w:val="Colorful Grid Accent 4"/>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1">
    <w:name w:val="Colorful Grid Accent 5"/>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2">
    <w:name w:val="Colorful Grid Accent 6"/>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4">
    <w:name w:val="Strong"/>
    <w:basedOn w:val="133"/>
    <w:qFormat/>
    <w:uiPriority w:val="22"/>
    <w:rPr>
      <w:b/>
      <w:bCs/>
    </w:rPr>
  </w:style>
  <w:style w:type="character" w:styleId="135">
    <w:name w:val="Emphasis"/>
    <w:basedOn w:val="133"/>
    <w:qFormat/>
    <w:uiPriority w:val="20"/>
    <w:rPr>
      <w:i/>
      <w:iCs/>
    </w:rPr>
  </w:style>
  <w:style w:type="paragraph" w:customStyle="1" w:styleId="136">
    <w:name w:val="Default"/>
    <w:unhideWhenUsed/>
    <w:qFormat/>
    <w:uiPriority w:val="99"/>
    <w:pPr>
      <w:widowControl w:val="0"/>
      <w:autoSpaceDE w:val="0"/>
      <w:autoSpaceDN w:val="0"/>
      <w:adjustRightInd w:val="0"/>
    </w:pPr>
    <w:rPr>
      <w:rFonts w:hint="eastAsia" w:ascii="方正仿宋_GBK" w:hAnsi="方正仿宋_GBK" w:eastAsia="方正仿宋_GBK" w:cs="Times New Roman"/>
      <w:color w:val="000000"/>
      <w:sz w:val="24"/>
      <w:szCs w:val="22"/>
      <w:lang w:val="en-US" w:eastAsia="zh-CN" w:bidi="ar-SA"/>
    </w:rPr>
  </w:style>
  <w:style w:type="character" w:customStyle="1" w:styleId="137">
    <w:name w:val="Header Char"/>
    <w:basedOn w:val="133"/>
    <w:link w:val="25"/>
    <w:qFormat/>
    <w:uiPriority w:val="99"/>
  </w:style>
  <w:style w:type="character" w:customStyle="1" w:styleId="138">
    <w:name w:val="Footer Char"/>
    <w:basedOn w:val="133"/>
    <w:link w:val="24"/>
    <w:qFormat/>
    <w:uiPriority w:val="99"/>
  </w:style>
  <w:style w:type="paragraph" w:styleId="139">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40">
    <w:name w:val="Heading 1 Char"/>
    <w:basedOn w:val="133"/>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41">
    <w:name w:val="Heading 2 Char"/>
    <w:basedOn w:val="133"/>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2">
    <w:name w:val="Heading 3 Char"/>
    <w:basedOn w:val="133"/>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3">
    <w:name w:val="Title Char"/>
    <w:basedOn w:val="133"/>
    <w:link w:val="32"/>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4">
    <w:name w:val="Subtitle Char"/>
    <w:basedOn w:val="133"/>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5">
    <w:name w:val="List Paragraph"/>
    <w:basedOn w:val="1"/>
    <w:qFormat/>
    <w:uiPriority w:val="34"/>
    <w:pPr>
      <w:ind w:left="720"/>
      <w:contextualSpacing/>
    </w:pPr>
  </w:style>
  <w:style w:type="character" w:customStyle="1" w:styleId="146">
    <w:name w:val="Body Text Char"/>
    <w:basedOn w:val="133"/>
    <w:link w:val="19"/>
    <w:qFormat/>
    <w:uiPriority w:val="99"/>
  </w:style>
  <w:style w:type="character" w:customStyle="1" w:styleId="147">
    <w:name w:val="Body Text 2 Char"/>
    <w:basedOn w:val="133"/>
    <w:link w:val="28"/>
    <w:qFormat/>
    <w:uiPriority w:val="99"/>
  </w:style>
  <w:style w:type="character" w:customStyle="1" w:styleId="148">
    <w:name w:val="Body Text 3 Char"/>
    <w:basedOn w:val="133"/>
    <w:link w:val="17"/>
    <w:qFormat/>
    <w:uiPriority w:val="99"/>
    <w:rPr>
      <w:sz w:val="16"/>
      <w:szCs w:val="16"/>
    </w:rPr>
  </w:style>
  <w:style w:type="character" w:customStyle="1" w:styleId="149">
    <w:name w:val="Macro Text Char"/>
    <w:basedOn w:val="133"/>
    <w:link w:val="2"/>
    <w:qFormat/>
    <w:uiPriority w:val="99"/>
    <w:rPr>
      <w:rFonts w:ascii="Courier" w:hAnsi="Courier"/>
      <w:sz w:val="20"/>
      <w:szCs w:val="20"/>
    </w:rPr>
  </w:style>
  <w:style w:type="paragraph" w:styleId="150">
    <w:name w:val="Quote"/>
    <w:basedOn w:val="1"/>
    <w:next w:val="1"/>
    <w:link w:val="151"/>
    <w:qFormat/>
    <w:uiPriority w:val="29"/>
    <w:rPr>
      <w:i/>
      <w:iCs/>
      <w:color w:val="000000" w:themeColor="text1"/>
      <w14:textFill>
        <w14:solidFill>
          <w14:schemeClr w14:val="tx1"/>
        </w14:solidFill>
      </w14:textFill>
    </w:rPr>
  </w:style>
  <w:style w:type="character" w:customStyle="1" w:styleId="151">
    <w:name w:val="Quote Char"/>
    <w:basedOn w:val="133"/>
    <w:link w:val="150"/>
    <w:qFormat/>
    <w:uiPriority w:val="29"/>
    <w:rPr>
      <w:i/>
      <w:iCs/>
      <w:color w:val="000000" w:themeColor="text1"/>
      <w14:textFill>
        <w14:solidFill>
          <w14:schemeClr w14:val="tx1"/>
        </w14:solidFill>
      </w14:textFill>
    </w:rPr>
  </w:style>
  <w:style w:type="character" w:customStyle="1" w:styleId="152">
    <w:name w:val="Heading 4 Char"/>
    <w:basedOn w:val="133"/>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3">
    <w:name w:val="Heading 5 Char"/>
    <w:basedOn w:val="133"/>
    <w:link w:val="7"/>
    <w:semiHidden/>
    <w:qFormat/>
    <w:uiPriority w:val="9"/>
    <w:rPr>
      <w:rFonts w:asciiTheme="majorHAnsi" w:hAnsiTheme="majorHAnsi" w:eastAsiaTheme="majorEastAsia" w:cstheme="majorBidi"/>
      <w:color w:val="254061" w:themeColor="accent1" w:themeShade="80"/>
    </w:rPr>
  </w:style>
  <w:style w:type="character" w:customStyle="1" w:styleId="154">
    <w:name w:val="Heading 6 Char"/>
    <w:basedOn w:val="133"/>
    <w:link w:val="8"/>
    <w:semiHidden/>
    <w:qFormat/>
    <w:uiPriority w:val="9"/>
    <w:rPr>
      <w:rFonts w:asciiTheme="majorHAnsi" w:hAnsiTheme="majorHAnsi" w:eastAsiaTheme="majorEastAsia" w:cstheme="majorBidi"/>
      <w:i/>
      <w:iCs/>
      <w:color w:val="254061" w:themeColor="accent1" w:themeShade="80"/>
    </w:rPr>
  </w:style>
  <w:style w:type="character" w:customStyle="1" w:styleId="155">
    <w:name w:val="Heading 7 Char"/>
    <w:basedOn w:val="133"/>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6">
    <w:name w:val="Heading 8 Char"/>
    <w:basedOn w:val="133"/>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7">
    <w:name w:val="Heading 9 Char"/>
    <w:basedOn w:val="133"/>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8">
    <w:name w:val="Intense Quote"/>
    <w:basedOn w:val="1"/>
    <w:next w:val="1"/>
    <w:link w:val="159"/>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9">
    <w:name w:val="Intense Quote Char"/>
    <w:basedOn w:val="133"/>
    <w:link w:val="158"/>
    <w:qFormat/>
    <w:uiPriority w:val="30"/>
    <w:rPr>
      <w:b/>
      <w:bCs/>
      <w:i/>
      <w:iCs/>
      <w:color w:val="4F81BD" w:themeColor="accent1"/>
      <w14:textFill>
        <w14:solidFill>
          <w14:schemeClr w14:val="accent1"/>
        </w14:solidFill>
      </w14:textFill>
    </w:rPr>
  </w:style>
  <w:style w:type="character" w:customStyle="1" w:styleId="160">
    <w:name w:val="Subtle Emphasis"/>
    <w:basedOn w:val="133"/>
    <w:qFormat/>
    <w:uiPriority w:val="19"/>
    <w:rPr>
      <w:i/>
      <w:iCs/>
      <w:color w:val="808080" w:themeColor="text1" w:themeTint="80"/>
      <w14:textFill>
        <w14:solidFill>
          <w14:schemeClr w14:val="tx1">
            <w14:lumMod w14:val="50000"/>
            <w14:lumOff w14:val="50000"/>
          </w14:schemeClr>
        </w14:solidFill>
      </w14:textFill>
    </w:rPr>
  </w:style>
  <w:style w:type="character" w:customStyle="1" w:styleId="161">
    <w:name w:val="Intense Emphasis"/>
    <w:basedOn w:val="133"/>
    <w:qFormat/>
    <w:uiPriority w:val="21"/>
    <w:rPr>
      <w:b/>
      <w:bCs/>
      <w:i/>
      <w:iCs/>
      <w:color w:val="4F81BD" w:themeColor="accent1"/>
      <w14:textFill>
        <w14:solidFill>
          <w14:schemeClr w14:val="accent1"/>
        </w14:solidFill>
      </w14:textFill>
    </w:rPr>
  </w:style>
  <w:style w:type="character" w:customStyle="1" w:styleId="162">
    <w:name w:val="Subtle Reference"/>
    <w:basedOn w:val="133"/>
    <w:qFormat/>
    <w:uiPriority w:val="31"/>
    <w:rPr>
      <w:smallCaps/>
      <w:color w:val="C0504D" w:themeColor="accent2"/>
      <w:u w:val="single"/>
      <w14:textFill>
        <w14:solidFill>
          <w14:schemeClr w14:val="accent2"/>
        </w14:solidFill>
      </w14:textFill>
    </w:rPr>
  </w:style>
  <w:style w:type="character" w:customStyle="1" w:styleId="163">
    <w:name w:val="Intense Reference"/>
    <w:basedOn w:val="133"/>
    <w:qFormat/>
    <w:uiPriority w:val="32"/>
    <w:rPr>
      <w:b/>
      <w:bCs/>
      <w:smallCaps/>
      <w:color w:val="C0504D" w:themeColor="accent2"/>
      <w:spacing w:val="5"/>
      <w:u w:val="single"/>
      <w14:textFill>
        <w14:solidFill>
          <w14:schemeClr w14:val="accent2"/>
        </w14:solidFill>
      </w14:textFill>
    </w:rPr>
  </w:style>
  <w:style w:type="character" w:customStyle="1" w:styleId="164">
    <w:name w:val="Book Title"/>
    <w:basedOn w:val="133"/>
    <w:qFormat/>
    <w:uiPriority w:val="33"/>
    <w:rPr>
      <w:b/>
      <w:bCs/>
      <w:smallCaps/>
      <w:spacing w:val="5"/>
    </w:rPr>
  </w:style>
  <w:style w:type="paragraph" w:customStyle="1" w:styleId="165">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tint val="100000"/>
                <a:shade val="100000"/>
                <a:satMod val="130000"/>
              </a:schemeClr>
            </a:gs>
            <a:gs pos="100000">
              <a:schemeClr val="phClr">
                <a:tint val="50000"/>
                <a:shade val="100000"/>
                <a:satMod val="350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2</TotalTime>
  <ScaleCrop>false</ScaleCrop>
  <LinksUpToDate>false</LinksUpToDate>
  <CharactersWithSpaces>0</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2013-12-25T07:15:00Z</dcterms:created>
  <dc:creator>python-docx</dc:creator>
  <dc:description>generated by python-docx</dc:description>
  <cp:lastModifiedBy>lyadmin</cp:lastModifiedBy>
  <dcterms:modified xsi:type="dcterms:W3CDTF">2026-09-09T16:37:20Z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CCC0CCB89E0AC4D38BC69F6AEA3116EA_43</vt:lpwstr>
  </property>
</Properties>
</file>