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171D6">
      <w:pPr>
        <w:pStyle w:val="2"/>
        <w:tabs>
          <w:tab w:val="clear" w:pos="360"/>
        </w:tabs>
        <w:spacing w:before="1440" w:after="120" w:line="360" w:lineRule="auto"/>
        <w:ind w:left="0" w:firstLine="0"/>
        <w:jc w:val="center"/>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市政设施养护服务合同</w:t>
      </w:r>
    </w:p>
    <w:p w14:paraId="67E0CA7D">
      <w:pPr>
        <w:jc w:val="center"/>
        <w:rPr>
          <w:rFonts w:hint="eastAsia"/>
          <w:lang w:eastAsia="zh-CN"/>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预公告版</w:t>
      </w:r>
      <w:r>
        <w:rPr>
          <w:rFonts w:hint="eastAsia"/>
          <w:color w:val="000000" w:themeColor="text1"/>
          <w:lang w:eastAsia="zh-CN"/>
          <w14:textFill>
            <w14:solidFill>
              <w14:schemeClr w14:val="tx1"/>
            </w14:solidFill>
          </w14:textFill>
        </w:rPr>
        <w:t>）</w:t>
      </w:r>
    </w:p>
    <w:p w14:paraId="7E655B04">
      <w:pPr>
        <w:rPr>
          <w:rFonts w:hint="eastAsia" w:ascii="宋体" w:hAnsi="宋体" w:eastAsia="宋体" w:cs="宋体"/>
          <w:color w:val="000000" w:themeColor="text1"/>
          <w:sz w:val="32"/>
          <w:szCs w:val="32"/>
          <w:lang w:eastAsia="zh-CN"/>
          <w14:textFill>
            <w14:solidFill>
              <w14:schemeClr w14:val="tx1"/>
            </w14:solidFill>
          </w14:textFill>
        </w:rPr>
      </w:pPr>
    </w:p>
    <w:p w14:paraId="44AA15F7">
      <w:pPr>
        <w:rPr>
          <w:rFonts w:hint="eastAsia" w:ascii="宋体" w:hAnsi="宋体" w:eastAsia="宋体" w:cs="宋体"/>
          <w:color w:val="000000" w:themeColor="text1"/>
          <w:sz w:val="32"/>
          <w:szCs w:val="32"/>
          <w:lang w:eastAsia="zh-CN"/>
          <w14:textFill>
            <w14:solidFill>
              <w14:schemeClr w14:val="tx1"/>
            </w14:solidFill>
          </w14:textFill>
        </w:rPr>
      </w:pPr>
    </w:p>
    <w:p w14:paraId="4E5B6A0B">
      <w:pPr>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发包人：</w:t>
      </w:r>
      <w:r>
        <w:rPr>
          <w:rFonts w:hint="eastAsia" w:ascii="宋体" w:hAnsi="宋体" w:eastAsia="宋体" w:cs="宋体"/>
          <w:color w:val="000000" w:themeColor="text1"/>
          <w:sz w:val="28"/>
          <w:szCs w:val="28"/>
          <w:u w:val="single"/>
          <w:lang w:eastAsia="zh-CN"/>
          <w14:textFill>
            <w14:solidFill>
              <w14:schemeClr w14:val="tx1"/>
            </w14:solidFill>
          </w14:textFill>
        </w:rPr>
        <w:t>龙岩市城市管理局</w:t>
      </w:r>
    </w:p>
    <w:p w14:paraId="5337FB98">
      <w:pPr>
        <w:rPr>
          <w:rFonts w:hint="eastAsia" w:ascii="宋体" w:hAnsi="宋体" w:eastAsia="宋体" w:cs="宋体"/>
          <w:color w:val="000000" w:themeColor="text1"/>
          <w:sz w:val="28"/>
          <w:szCs w:val="28"/>
          <w:lang w:eastAsia="zh-CN"/>
          <w14:textFill>
            <w14:solidFill>
              <w14:schemeClr w14:val="tx1"/>
            </w14:solidFill>
          </w14:textFill>
        </w:rPr>
      </w:pPr>
    </w:p>
    <w:p w14:paraId="7FC98A60">
      <w:pPr>
        <w:rPr>
          <w:rFonts w:hint="default" w:ascii="宋体" w:hAnsi="宋体" w:eastAsia="宋体" w:cs="宋体"/>
          <w:color w:val="000000" w:themeColor="text1"/>
          <w:sz w:val="28"/>
          <w:szCs w:val="28"/>
          <w:u w:val="single"/>
          <w:lang w:val="en-US"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承包人：</w:t>
      </w:r>
      <w:r>
        <w:rPr>
          <w:rFonts w:hint="eastAsia" w:ascii="宋体" w:hAnsi="宋体" w:cs="宋体"/>
          <w:color w:val="000000" w:themeColor="text1"/>
          <w:sz w:val="28"/>
          <w:szCs w:val="28"/>
          <w:u w:val="single"/>
          <w:lang w:val="en-US" w:eastAsia="zh-CN"/>
          <w14:textFill>
            <w14:solidFill>
              <w14:schemeClr w14:val="tx1"/>
            </w14:solidFill>
          </w14:textFill>
        </w:rPr>
        <w:t xml:space="preserve">                                     </w:t>
      </w:r>
    </w:p>
    <w:p w14:paraId="5E33B946">
      <w:pPr>
        <w:rPr>
          <w:rFonts w:hint="eastAsia" w:ascii="宋体" w:hAnsi="宋体" w:eastAsia="宋体" w:cs="宋体"/>
          <w:color w:val="000000" w:themeColor="text1"/>
          <w:sz w:val="28"/>
          <w:szCs w:val="28"/>
          <w:lang w:eastAsia="zh-CN"/>
          <w14:textFill>
            <w14:solidFill>
              <w14:schemeClr w14:val="tx1"/>
            </w14:solidFill>
          </w14:textFill>
        </w:rPr>
      </w:pPr>
    </w:p>
    <w:p w14:paraId="0A57D99A">
      <w:pPr>
        <w:rPr>
          <w:rFonts w:hint="eastAsia" w:ascii="宋体" w:hAnsi="宋体" w:eastAsia="宋体" w:cs="宋体"/>
          <w:color w:val="000000" w:themeColor="text1"/>
          <w:sz w:val="28"/>
          <w:szCs w:val="28"/>
          <w:u w:val="single"/>
          <w:lang w:val="en-US" w:eastAsia="zh-CN"/>
          <w14:textFill>
            <w14:solidFill>
              <w14:schemeClr w14:val="tx1"/>
            </w14:solidFill>
          </w14:textFill>
        </w:rPr>
      </w:pPr>
      <w:r>
        <w:rPr>
          <w:rFonts w:hint="eastAsia" w:ascii="宋体" w:hAnsi="宋体" w:cs="宋体"/>
          <w:color w:val="000000" w:themeColor="text1"/>
          <w:sz w:val="28"/>
          <w:szCs w:val="28"/>
          <w:lang w:eastAsia="zh-CN"/>
          <w14:textFill>
            <w14:solidFill>
              <w14:schemeClr w14:val="tx1"/>
            </w14:solidFill>
          </w14:textFill>
        </w:rPr>
        <w:t>合同</w:t>
      </w:r>
      <w:r>
        <w:rPr>
          <w:rFonts w:hint="eastAsia" w:ascii="宋体" w:hAnsi="宋体" w:eastAsia="宋体" w:cs="宋体"/>
          <w:color w:val="000000" w:themeColor="text1"/>
          <w:sz w:val="28"/>
          <w:szCs w:val="28"/>
          <w:lang w:eastAsia="zh-CN"/>
          <w14:textFill>
            <w14:solidFill>
              <w14:schemeClr w14:val="tx1"/>
            </w14:solidFill>
          </w14:textFill>
        </w:rPr>
        <w:t>名称：</w:t>
      </w:r>
      <w:r>
        <w:rPr>
          <w:rFonts w:hint="eastAsia" w:ascii="宋体" w:hAnsi="宋体" w:eastAsia="宋体" w:cs="宋体"/>
          <w:color w:val="000000" w:themeColor="text1"/>
          <w:sz w:val="28"/>
          <w:szCs w:val="28"/>
          <w:u w:val="single"/>
          <w:lang w:val="en-US" w:eastAsia="zh-CN"/>
          <w14:textFill>
            <w14:solidFill>
              <w14:schemeClr w14:val="tx1"/>
            </w14:solidFill>
          </w14:textFill>
        </w:rPr>
        <w:t>龙岩中心城市主城区市政道路、排水、桥隧土建日常维护、中修、应急抢险等服务项目（2026年-2029年）</w:t>
      </w:r>
    </w:p>
    <w:p w14:paraId="0A60116B">
      <w:pPr>
        <w:rPr>
          <w:rFonts w:hint="default" w:ascii="宋体" w:hAnsi="宋体" w:eastAsia="宋体" w:cs="宋体"/>
          <w:color w:val="000000" w:themeColor="text1"/>
          <w:sz w:val="28"/>
          <w:szCs w:val="28"/>
          <w:u w:val="single"/>
          <w:lang w:val="en-US" w:eastAsia="zh-CN"/>
          <w14:textFill>
            <w14:solidFill>
              <w14:schemeClr w14:val="tx1"/>
            </w14:solidFill>
          </w14:textFill>
        </w:rPr>
      </w:pPr>
      <w:r>
        <w:rPr>
          <w:rFonts w:hint="eastAsia" w:ascii="宋体" w:hAnsi="宋体" w:cs="宋体"/>
          <w:color w:val="000000" w:themeColor="text1"/>
          <w:sz w:val="28"/>
          <w:szCs w:val="28"/>
          <w:u w:val="none"/>
          <w:lang w:val="en-US" w:eastAsia="zh-CN"/>
          <w14:textFill>
            <w14:solidFill>
              <w14:schemeClr w14:val="tx1"/>
            </w14:solidFill>
          </w14:textFill>
        </w:rPr>
        <w:t>标段：</w:t>
      </w:r>
      <w:r>
        <w:rPr>
          <w:rFonts w:hint="eastAsia" w:ascii="宋体" w:hAnsi="宋体" w:cs="宋体"/>
          <w:color w:val="000000" w:themeColor="text1"/>
          <w:sz w:val="28"/>
          <w:szCs w:val="28"/>
          <w:u w:val="single"/>
          <w:lang w:val="en-US" w:eastAsia="zh-CN"/>
          <w14:textFill>
            <w14:solidFill>
              <w14:schemeClr w14:val="tx1"/>
            </w14:solidFill>
          </w14:textFill>
        </w:rPr>
        <w:t>包二</w:t>
      </w:r>
    </w:p>
    <w:p w14:paraId="1A6DFCDC">
      <w:pPr>
        <w:rPr>
          <w:rFonts w:hint="eastAsia" w:ascii="宋体" w:hAnsi="宋体" w:eastAsia="宋体" w:cs="宋体"/>
          <w:color w:val="000000" w:themeColor="text1"/>
          <w:sz w:val="28"/>
          <w:szCs w:val="28"/>
          <w:lang w:eastAsia="zh-CN"/>
          <w14:textFill>
            <w14:solidFill>
              <w14:schemeClr w14:val="tx1"/>
            </w14:solidFill>
          </w14:textFill>
        </w:rPr>
      </w:pPr>
    </w:p>
    <w:p w14:paraId="50996770">
      <w:pPr>
        <w:rPr>
          <w:rFonts w:hint="eastAsia" w:ascii="宋体" w:hAnsi="宋体" w:eastAsia="宋体" w:cs="宋体"/>
          <w:color w:val="000000" w:themeColor="text1"/>
          <w:sz w:val="28"/>
          <w:szCs w:val="28"/>
          <w:lang w:eastAsia="zh-CN"/>
          <w14:textFill>
            <w14:solidFill>
              <w14:schemeClr w14:val="tx1"/>
            </w14:solidFill>
          </w14:textFill>
        </w:rPr>
      </w:pPr>
    </w:p>
    <w:p w14:paraId="0F4E713D">
      <w:pPr>
        <w:rPr>
          <w:rFonts w:hint="eastAsia" w:ascii="宋体" w:hAnsi="宋体" w:eastAsia="宋体" w:cs="宋体"/>
          <w:color w:val="000000" w:themeColor="text1"/>
          <w:sz w:val="28"/>
          <w:szCs w:val="28"/>
          <w:lang w:eastAsia="zh-CN"/>
          <w14:textFill>
            <w14:solidFill>
              <w14:schemeClr w14:val="tx1"/>
            </w14:solidFill>
          </w14:textFill>
        </w:rPr>
      </w:pPr>
    </w:p>
    <w:p w14:paraId="06E2E4B6">
      <w:pPr>
        <w:rPr>
          <w:rFonts w:hint="eastAsia" w:ascii="宋体" w:hAnsi="宋体" w:eastAsia="宋体" w:cs="宋体"/>
          <w:color w:val="000000" w:themeColor="text1"/>
          <w:sz w:val="28"/>
          <w:szCs w:val="28"/>
          <w:lang w:eastAsia="zh-CN"/>
          <w14:textFill>
            <w14:solidFill>
              <w14:schemeClr w14:val="tx1"/>
            </w14:solidFill>
          </w14:textFill>
        </w:rPr>
      </w:pPr>
    </w:p>
    <w:p w14:paraId="499C7651">
      <w:pPr>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养护期限：</w:t>
      </w:r>
      <w:r>
        <w:rPr>
          <w:rFonts w:hint="eastAsia" w:ascii="宋体" w:hAnsi="宋体" w:eastAsia="宋体" w:cs="宋体"/>
          <w:bCs/>
          <w:color w:val="000000" w:themeColor="text1"/>
          <w:sz w:val="28"/>
          <w:szCs w:val="28"/>
          <w:u w:val="single"/>
          <w:lang w:val="en-US" w:eastAsia="zh-CN"/>
          <w14:textFill>
            <w14:solidFill>
              <w14:schemeClr w14:val="tx1"/>
            </w14:solidFill>
          </w14:textFill>
        </w:rPr>
        <w:t>2026年</w:t>
      </w:r>
      <w:r>
        <w:rPr>
          <w:rFonts w:hint="eastAsia" w:ascii="宋体" w:hAnsi="宋体" w:cs="宋体"/>
          <w:bCs/>
          <w:color w:val="000000" w:themeColor="text1"/>
          <w:sz w:val="28"/>
          <w:szCs w:val="28"/>
          <w:u w:val="single"/>
          <w:lang w:val="en-US" w:eastAsia="zh-CN"/>
          <w14:textFill>
            <w14:solidFill>
              <w14:schemeClr w14:val="tx1"/>
            </w14:solidFill>
          </w14:textFill>
        </w:rPr>
        <w:t>10</w:t>
      </w:r>
      <w:r>
        <w:rPr>
          <w:rFonts w:hint="eastAsia" w:ascii="宋体" w:hAnsi="宋体" w:eastAsia="宋体" w:cs="宋体"/>
          <w:bCs/>
          <w:color w:val="000000" w:themeColor="text1"/>
          <w:sz w:val="28"/>
          <w:szCs w:val="28"/>
          <w:u w:val="single"/>
          <w:lang w:val="en-US" w:eastAsia="zh-CN"/>
          <w14:textFill>
            <w14:solidFill>
              <w14:schemeClr w14:val="tx1"/>
            </w14:solidFill>
          </w14:textFill>
        </w:rPr>
        <w:t>月1日-202</w:t>
      </w:r>
      <w:r>
        <w:rPr>
          <w:rFonts w:hint="eastAsia" w:ascii="宋体" w:hAnsi="宋体" w:cs="宋体"/>
          <w:bCs/>
          <w:color w:val="000000" w:themeColor="text1"/>
          <w:sz w:val="28"/>
          <w:szCs w:val="28"/>
          <w:u w:val="single"/>
          <w:lang w:val="en-US" w:eastAsia="zh-CN"/>
          <w14:textFill>
            <w14:solidFill>
              <w14:schemeClr w14:val="tx1"/>
            </w14:solidFill>
          </w14:textFill>
        </w:rPr>
        <w:t>9</w:t>
      </w:r>
      <w:r>
        <w:rPr>
          <w:rFonts w:hint="eastAsia" w:ascii="宋体" w:hAnsi="宋体" w:eastAsia="宋体" w:cs="宋体"/>
          <w:bCs/>
          <w:color w:val="000000" w:themeColor="text1"/>
          <w:sz w:val="28"/>
          <w:szCs w:val="28"/>
          <w:u w:val="single"/>
          <w:lang w:val="en-US" w:eastAsia="zh-CN"/>
          <w14:textFill>
            <w14:solidFill>
              <w14:schemeClr w14:val="tx1"/>
            </w14:solidFill>
          </w14:textFill>
        </w:rPr>
        <w:t>年9月30日</w:t>
      </w:r>
    </w:p>
    <w:p w14:paraId="17872D29">
      <w:pPr>
        <w:rPr>
          <w:rFonts w:hint="eastAsia" w:ascii="宋体" w:hAnsi="宋体" w:eastAsia="宋体" w:cs="宋体"/>
          <w:color w:val="000000" w:themeColor="text1"/>
          <w:sz w:val="28"/>
          <w:szCs w:val="28"/>
          <w:u w:val="none"/>
          <w:lang w:val="en-US"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签订时间：</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年    月    日</w:t>
      </w:r>
    </w:p>
    <w:p w14:paraId="333A79D7">
      <w:pPr>
        <w:pStyle w:val="16"/>
        <w:wordWrap w:val="0"/>
        <w:spacing w:line="360" w:lineRule="auto"/>
        <w:jc w:val="center"/>
        <w:rPr>
          <w:rFonts w:ascii="宋体" w:hAnsi="宋体" w:eastAsia="宋体" w:cs="宋体"/>
          <w:b/>
          <w:color w:val="000000" w:themeColor="text1"/>
          <w:sz w:val="32"/>
          <w:szCs w:val="32"/>
          <w14:textFill>
            <w14:solidFill>
              <w14:schemeClr w14:val="tx1"/>
            </w14:solidFill>
          </w14:textFill>
        </w:rPr>
      </w:pPr>
      <w:bookmarkStart w:id="0" w:name="_Toc300038981"/>
    </w:p>
    <w:p w14:paraId="2AA788BA">
      <w:pPr>
        <w:pStyle w:val="16"/>
        <w:wordWrap w:val="0"/>
        <w:spacing w:line="360" w:lineRule="auto"/>
        <w:jc w:val="center"/>
        <w:rPr>
          <w:rFonts w:ascii="宋体" w:hAnsi="宋体" w:eastAsia="宋体" w:cs="宋体"/>
          <w:b/>
          <w:color w:val="000000" w:themeColor="text1"/>
          <w:sz w:val="32"/>
          <w:szCs w:val="32"/>
          <w14:textFill>
            <w14:solidFill>
              <w14:schemeClr w14:val="tx1"/>
            </w14:solidFill>
          </w14:textFill>
        </w:rPr>
      </w:pPr>
    </w:p>
    <w:p w14:paraId="779DB127">
      <w:pPr>
        <w:pStyle w:val="16"/>
        <w:wordWrap w:val="0"/>
        <w:spacing w:line="360" w:lineRule="auto"/>
        <w:jc w:val="center"/>
        <w:rPr>
          <w:rFonts w:ascii="宋体" w:hAnsi="宋体" w:eastAsia="宋体" w:cs="宋体"/>
          <w:b/>
          <w:color w:val="000000" w:themeColor="text1"/>
          <w:sz w:val="32"/>
          <w:szCs w:val="32"/>
          <w14:textFill>
            <w14:solidFill>
              <w14:schemeClr w14:val="tx1"/>
            </w14:solidFill>
          </w14:textFill>
        </w:rPr>
      </w:pPr>
    </w:p>
    <w:p w14:paraId="0E4A4362">
      <w:pPr>
        <w:pStyle w:val="16"/>
        <w:wordWrap w:val="0"/>
        <w:spacing w:line="360" w:lineRule="auto"/>
        <w:jc w:val="both"/>
        <w:rPr>
          <w:rFonts w:ascii="宋体" w:hAnsi="宋体" w:eastAsia="宋体" w:cs="宋体"/>
          <w:b/>
          <w:color w:val="000000" w:themeColor="text1"/>
          <w:sz w:val="32"/>
          <w:szCs w:val="32"/>
          <w14:textFill>
            <w14:solidFill>
              <w14:schemeClr w14:val="tx1"/>
            </w14:solidFill>
          </w14:textFill>
        </w:rPr>
      </w:pPr>
      <w:bookmarkStart w:id="63" w:name="_GoBack"/>
      <w:bookmarkEnd w:id="63"/>
    </w:p>
    <w:p w14:paraId="0223D543">
      <w:pPr>
        <w:pStyle w:val="19"/>
        <w:numPr>
          <w:ilvl w:val="1"/>
          <w:numId w:val="1"/>
        </w:numPr>
        <w:wordWrap w:val="0"/>
        <w:ind w:firstLine="0"/>
        <w:jc w:val="center"/>
        <w:rPr>
          <w:rFonts w:ascii="宋体" w:hAnsi="宋体" w:eastAsia="宋体" w:cs="宋体"/>
          <w:color w:val="000000" w:themeColor="text1"/>
          <w14:textFill>
            <w14:solidFill>
              <w14:schemeClr w14:val="tx1"/>
            </w14:solidFill>
          </w14:textFill>
        </w:rPr>
      </w:pPr>
      <w:bookmarkStart w:id="1" w:name="_Toc256000016"/>
      <w:bookmarkStart w:id="2" w:name="_Toc63471429"/>
      <w:bookmarkStart w:id="3" w:name="_Toc32329727"/>
      <w:r>
        <w:rPr>
          <w:rFonts w:hint="eastAsia" w:ascii="宋体" w:hAnsi="宋体" w:eastAsia="宋体" w:cs="宋体"/>
          <w:color w:val="000000" w:themeColor="text1"/>
          <w14:textFill>
            <w14:solidFill>
              <w14:schemeClr w14:val="tx1"/>
            </w14:solidFill>
          </w14:textFill>
        </w:rPr>
        <w:t>合同协议书</w:t>
      </w:r>
    </w:p>
    <w:bookmarkEnd w:id="1"/>
    <w:bookmarkEnd w:id="2"/>
    <w:bookmarkEnd w:id="3"/>
    <w:p w14:paraId="4BACFC8E">
      <w:pPr>
        <w:pStyle w:val="16"/>
        <w:wordWrap w:val="0"/>
        <w:spacing w:line="440" w:lineRule="exact"/>
        <w:rPr>
          <w:rFonts w:ascii="宋体" w:hAnsi="宋体" w:eastAsia="宋体" w:cs="宋体"/>
          <w:b/>
          <w:color w:val="000000" w:themeColor="text1"/>
          <w:szCs w:val="21"/>
          <w:u w:val="single"/>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发包人（全称）：</w:t>
      </w:r>
      <w:r>
        <w:rPr>
          <w:rFonts w:hint="eastAsia" w:ascii="宋体" w:hAnsi="宋体" w:eastAsia="宋体" w:cs="宋体"/>
          <w:b/>
          <w:color w:val="000000" w:themeColor="text1"/>
          <w:szCs w:val="21"/>
          <w:u w:val="single"/>
          <w14:textFill>
            <w14:solidFill>
              <w14:schemeClr w14:val="tx1"/>
            </w14:solidFill>
          </w14:textFill>
        </w:rPr>
        <w:t>龙岩市城市管理局</w:t>
      </w:r>
    </w:p>
    <w:p w14:paraId="17B589D2">
      <w:pPr>
        <w:pStyle w:val="16"/>
        <w:wordWrap w:val="0"/>
        <w:spacing w:line="440" w:lineRule="exact"/>
        <w:rPr>
          <w:rFonts w:hint="default" w:ascii="宋体" w:hAnsi="宋体" w:eastAsia="宋体" w:cs="宋体"/>
          <w:b/>
          <w:color w:val="000000" w:themeColor="text1"/>
          <w:szCs w:val="21"/>
          <w:u w:val="single"/>
          <w:lang w:val="en-US" w:eastAsia="zh-CN"/>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承包人（全称）：</w:t>
      </w:r>
      <w:r>
        <w:rPr>
          <w:rFonts w:hint="eastAsia" w:ascii="宋体" w:hAnsi="宋体" w:eastAsia="宋体" w:cs="宋体"/>
          <w:b/>
          <w:color w:val="000000" w:themeColor="text1"/>
          <w:szCs w:val="21"/>
          <w:u w:val="single"/>
          <w:lang w:val="en-US" w:eastAsia="zh-CN"/>
          <w14:textFill>
            <w14:solidFill>
              <w14:schemeClr w14:val="tx1"/>
            </w14:solidFill>
          </w14:textFill>
        </w:rPr>
        <w:t xml:space="preserve">                  </w:t>
      </w:r>
    </w:p>
    <w:p w14:paraId="3B73842A">
      <w:pPr>
        <w:pStyle w:val="16"/>
        <w:wordWrap w:val="0"/>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根据《中华人民共和国民法典》、《中华人民共和国建筑法》及有关法律规定，遵循平等、自愿、公平和诚实信用的原则，双方就</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龙岩中心城市主城区市政道路、排水、桥隧土建日常维护、中修、应急抢险等服务项目（2026年-2029年）（包二）</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施工及有关事项协商一致，共同达成如下协议：</w:t>
      </w:r>
    </w:p>
    <w:p w14:paraId="5A5BB84D">
      <w:pPr>
        <w:pStyle w:val="24"/>
        <w:wordWrap w:val="0"/>
        <w:spacing w:before="0" w:after="0" w:line="440" w:lineRule="exact"/>
        <w:rPr>
          <w:rFonts w:ascii="宋体" w:hAnsi="宋体" w:cs="宋体"/>
          <w:bCs w:val="0"/>
          <w:color w:val="000000" w:themeColor="text1"/>
          <w:sz w:val="21"/>
          <w:szCs w:val="21"/>
          <w14:textFill>
            <w14:solidFill>
              <w14:schemeClr w14:val="tx1"/>
            </w14:solidFill>
          </w14:textFill>
        </w:rPr>
      </w:pPr>
      <w:bookmarkStart w:id="4" w:name="_Toc63471430"/>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b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一、工程概况</w:t>
      </w:r>
      <w:bookmarkEnd w:id="4"/>
    </w:p>
    <w:p w14:paraId="10128873">
      <w:pPr>
        <w:pStyle w:val="16"/>
        <w:wordWrap w:val="0"/>
        <w:spacing w:line="440" w:lineRule="exact"/>
        <w:ind w:firstLine="411" w:firstLineChars="196"/>
        <w:rPr>
          <w:rFonts w:hint="eastAsia"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1.工程名称</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u w:val="single"/>
          <w:lang w:val="en-US" w:eastAsia="zh-CN"/>
          <w14:textFill>
            <w14:solidFill>
              <w14:schemeClr w14:val="tx1"/>
            </w14:solidFill>
          </w14:textFill>
        </w:rPr>
        <w:t>龙岩中心城市主城区市政道路、排水、桥隧土建日常维护、中修、应急抢险等服务项目（2026年-2029年）（包二）</w:t>
      </w:r>
    </w:p>
    <w:p w14:paraId="068BC772">
      <w:pPr>
        <w:pStyle w:val="16"/>
        <w:wordWrap w:val="0"/>
        <w:spacing w:line="440" w:lineRule="exact"/>
        <w:ind w:firstLine="411" w:firstLineChars="196"/>
        <w:rPr>
          <w:rFonts w:hint="default" w:ascii="宋体" w:hAnsi="宋体" w:eastAsia="宋体" w:cs="宋体"/>
          <w:bCs/>
          <w:color w:val="000000" w:themeColor="text1"/>
          <w:szCs w:val="21"/>
          <w:lang w:val="en-US"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2.工程地点：</w:t>
      </w:r>
      <w:r>
        <w:rPr>
          <w:rFonts w:hint="eastAsia" w:ascii="宋体" w:hAnsi="宋体" w:eastAsia="宋体" w:cs="宋体"/>
          <w:color w:val="000000" w:themeColor="text1"/>
          <w:szCs w:val="21"/>
          <w:u w:val="single"/>
          <w14:textFill>
            <w14:solidFill>
              <w14:schemeClr w14:val="tx1"/>
            </w14:solidFill>
          </w14:textFill>
        </w:rPr>
        <w:t>龙岩市中心城市主城区</w:t>
      </w:r>
      <w:r>
        <w:rPr>
          <w:rFonts w:hint="eastAsia" w:ascii="宋体" w:hAnsi="宋体" w:eastAsia="宋体" w:cs="宋体"/>
          <w:color w:val="000000" w:themeColor="text1"/>
          <w:szCs w:val="21"/>
          <w:u w:val="single"/>
          <w:lang w:eastAsia="zh-CN"/>
          <w14:textFill>
            <w14:solidFill>
              <w14:schemeClr w14:val="tx1"/>
            </w14:solidFill>
          </w14:textFill>
        </w:rPr>
        <w:t>，以华莲路</w:t>
      </w:r>
      <w:r>
        <w:rPr>
          <w:rFonts w:hint="eastAsia" w:ascii="宋体" w:hAnsi="宋体" w:eastAsia="宋体" w:cs="宋体"/>
          <w:color w:val="000000" w:themeColor="text1"/>
          <w:szCs w:val="21"/>
          <w:u w:val="single"/>
          <w:lang w:val="en-US" w:eastAsia="zh-CN"/>
          <w14:textFill>
            <w14:solidFill>
              <w14:schemeClr w14:val="tx1"/>
            </w14:solidFill>
          </w14:textFill>
        </w:rPr>
        <w:t>-南环路（东至东环路西至西外环）为界的以南区域（含华莲路）。</w:t>
      </w:r>
    </w:p>
    <w:p w14:paraId="72F11BFB">
      <w:pPr>
        <w:pStyle w:val="16"/>
        <w:wordWrap w:val="0"/>
        <w:spacing w:line="440" w:lineRule="exact"/>
        <w:ind w:firstLine="411" w:firstLineChars="196"/>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3.工程立项批准文号：</w:t>
      </w:r>
      <w:r>
        <w:rPr>
          <w:rFonts w:hint="eastAsia" w:ascii="宋体" w:hAnsi="宋体" w:eastAsia="宋体" w:cs="宋体"/>
          <w:color w:val="000000" w:themeColor="text1"/>
          <w:szCs w:val="21"/>
          <w:u w:val="single"/>
          <w14:textFill>
            <w14:solidFill>
              <w14:schemeClr w14:val="tx1"/>
            </w14:solidFill>
          </w14:textFill>
        </w:rPr>
        <w:t xml:space="preserve">  /    </w:t>
      </w:r>
      <w:r>
        <w:rPr>
          <w:rFonts w:hint="eastAsia" w:ascii="宋体" w:hAnsi="宋体" w:eastAsia="宋体" w:cs="宋体"/>
          <w:bCs/>
          <w:color w:val="000000" w:themeColor="text1"/>
          <w:szCs w:val="21"/>
          <w14:textFill>
            <w14:solidFill>
              <w14:schemeClr w14:val="tx1"/>
            </w14:solidFill>
          </w14:textFill>
        </w:rPr>
        <w:t>。</w:t>
      </w:r>
    </w:p>
    <w:p w14:paraId="0B187AFC">
      <w:pPr>
        <w:pStyle w:val="16"/>
        <w:wordWrap w:val="0"/>
        <w:spacing w:line="440" w:lineRule="exact"/>
        <w:ind w:firstLine="411" w:firstLineChars="196"/>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4.资金来源：</w:t>
      </w:r>
      <w:r>
        <w:rPr>
          <w:rFonts w:hint="eastAsia" w:ascii="宋体" w:hAnsi="宋体" w:eastAsia="宋体" w:cs="宋体"/>
          <w:color w:val="000000" w:themeColor="text1"/>
          <w:szCs w:val="21"/>
          <w:u w:val="single"/>
          <w14:textFill>
            <w14:solidFill>
              <w14:schemeClr w14:val="tx1"/>
            </w14:solidFill>
          </w14:textFill>
        </w:rPr>
        <w:t>财政拨款</w:t>
      </w:r>
      <w:r>
        <w:rPr>
          <w:rFonts w:hint="eastAsia" w:ascii="宋体" w:hAnsi="宋体" w:eastAsia="宋体" w:cs="宋体"/>
          <w:bCs/>
          <w:color w:val="000000" w:themeColor="text1"/>
          <w:szCs w:val="21"/>
          <w14:textFill>
            <w14:solidFill>
              <w14:schemeClr w14:val="tx1"/>
            </w14:solidFill>
          </w14:textFill>
        </w:rPr>
        <w:t>。</w:t>
      </w:r>
    </w:p>
    <w:p w14:paraId="52758A93">
      <w:pPr>
        <w:pStyle w:val="16"/>
        <w:widowControl/>
        <w:wordWrap w:val="0"/>
        <w:spacing w:line="440" w:lineRule="exact"/>
        <w:ind w:firstLine="424" w:firstLineChars="202"/>
        <w:rPr>
          <w:rFonts w:ascii="宋体" w:hAnsi="宋体" w:eastAsia="宋体" w:cs="宋体"/>
          <w:color w:val="000000" w:themeColor="text1"/>
          <w:szCs w:val="21"/>
          <w:highlight w:val="none"/>
          <w:u w:val="single"/>
          <w14:textFill>
            <w14:solidFill>
              <w14:schemeClr w14:val="tx1"/>
            </w14:solidFill>
          </w14:textFill>
        </w:rPr>
      </w:pPr>
      <w:bookmarkStart w:id="5" w:name="auto_fouce_1"/>
      <w:r>
        <w:rPr>
          <w:rFonts w:hint="eastAsia" w:ascii="宋体" w:hAnsi="宋体" w:eastAsia="宋体" w:cs="宋体"/>
          <w:bCs/>
          <w:color w:val="000000" w:themeColor="text1"/>
          <w:szCs w:val="21"/>
          <w14:textFill>
            <w14:solidFill>
              <w14:schemeClr w14:val="tx1"/>
            </w14:solidFill>
          </w14:textFill>
        </w:rPr>
        <w:t>5.工程内容：</w:t>
      </w:r>
      <w:r>
        <w:rPr>
          <w:rFonts w:hint="eastAsia" w:ascii="宋体" w:hAnsi="宋体" w:eastAsia="宋体" w:cs="宋体"/>
          <w:color w:val="000000" w:themeColor="text1"/>
          <w:szCs w:val="21"/>
          <w:u w:val="single"/>
          <w14:textFill>
            <w14:solidFill>
              <w14:schemeClr w14:val="tx1"/>
            </w14:solidFill>
          </w14:textFill>
        </w:rPr>
        <w:t>本</w:t>
      </w:r>
      <w:r>
        <w:rPr>
          <w:rFonts w:hint="eastAsia" w:ascii="宋体" w:hAnsi="宋体" w:eastAsia="宋体" w:cs="宋体"/>
          <w:color w:val="000000" w:themeColor="text1"/>
          <w:szCs w:val="21"/>
          <w:u w:val="single"/>
          <w:lang w:eastAsia="zh-CN"/>
          <w14:textFill>
            <w14:solidFill>
              <w14:schemeClr w14:val="tx1"/>
            </w14:solidFill>
          </w14:textFill>
        </w:rPr>
        <w:t>标段</w:t>
      </w:r>
      <w:r>
        <w:rPr>
          <w:rFonts w:hint="eastAsia" w:ascii="宋体" w:hAnsi="宋体" w:eastAsia="宋体" w:cs="宋体"/>
          <w:color w:val="000000" w:themeColor="text1"/>
          <w:szCs w:val="21"/>
          <w:u w:val="single"/>
          <w14:textFill>
            <w14:solidFill>
              <w14:schemeClr w14:val="tx1"/>
            </w14:solidFill>
          </w14:textFill>
        </w:rPr>
        <w:t>投资金额为</w:t>
      </w:r>
      <w:r>
        <w:rPr>
          <w:rFonts w:hint="eastAsia" w:ascii="宋体" w:hAnsi="宋体" w:eastAsia="宋体" w:cs="宋体"/>
          <w:color w:val="000000" w:themeColor="text1"/>
          <w:szCs w:val="21"/>
          <w:u w:val="single"/>
          <w:lang w:val="en-US" w:eastAsia="zh-CN"/>
          <w14:textFill>
            <w14:solidFill>
              <w14:schemeClr w14:val="tx1"/>
            </w14:solidFill>
          </w14:textFill>
        </w:rPr>
        <w:t>600</w:t>
      </w:r>
      <w:r>
        <w:rPr>
          <w:rFonts w:hint="eastAsia" w:ascii="宋体" w:hAnsi="宋体" w:eastAsia="宋体" w:cs="宋体"/>
          <w:color w:val="000000" w:themeColor="text1"/>
          <w:szCs w:val="21"/>
          <w:u w:val="single"/>
          <w14:textFill>
            <w14:solidFill>
              <w14:schemeClr w14:val="tx1"/>
            </w14:solidFill>
          </w14:textFill>
        </w:rPr>
        <w:t>万元</w:t>
      </w:r>
      <w:r>
        <w:rPr>
          <w:rFonts w:hint="eastAsia" w:ascii="宋体" w:hAnsi="宋体" w:eastAsia="宋体" w:cs="宋体"/>
          <w:color w:val="000000" w:themeColor="text1"/>
          <w:szCs w:val="21"/>
          <w:u w:val="single"/>
          <w:lang w:val="en-US" w:eastAsia="zh-CN"/>
          <w14:textFill>
            <w14:solidFill>
              <w14:schemeClr w14:val="tx1"/>
            </w14:solidFill>
          </w14:textFill>
        </w:rPr>
        <w:t>/年</w:t>
      </w:r>
      <w:r>
        <w:rPr>
          <w:rFonts w:hint="eastAsia" w:ascii="宋体" w:hAnsi="宋体" w:eastAsia="宋体" w:cs="宋体"/>
          <w:color w:val="000000" w:themeColor="text1"/>
          <w:szCs w:val="21"/>
          <w:highlight w:val="none"/>
          <w:u w:val="single"/>
          <w:lang w:val="en-US" w:eastAsia="zh-CN"/>
          <w14:textFill>
            <w14:solidFill>
              <w14:schemeClr w14:val="tx1"/>
            </w14:solidFill>
          </w14:textFill>
        </w:rPr>
        <w:t>，服务期限三年，总投资金额180</w:t>
      </w:r>
      <w:r>
        <w:rPr>
          <w:rFonts w:hint="eastAsia" w:ascii="宋体" w:hAnsi="宋体" w:eastAsia="宋体" w:cs="宋体"/>
          <w:color w:val="000000" w:themeColor="text1"/>
          <w:szCs w:val="21"/>
          <w:u w:val="single"/>
          <w:lang w:val="en-US" w:eastAsia="zh-CN"/>
          <w14:textFill>
            <w14:solidFill>
              <w14:schemeClr w14:val="tx1"/>
            </w14:solidFill>
          </w14:textFill>
        </w:rPr>
        <w:t>0万元</w:t>
      </w:r>
      <w:r>
        <w:rPr>
          <w:rFonts w:hint="eastAsia" w:ascii="宋体" w:hAnsi="宋体" w:eastAsia="宋体" w:cs="宋体"/>
          <w:color w:val="000000" w:themeColor="text1"/>
          <w:szCs w:val="21"/>
          <w:highlight w:val="none"/>
          <w:u w:val="single"/>
          <w14:textFill>
            <w14:solidFill>
              <w14:schemeClr w14:val="tx1"/>
            </w14:solidFill>
          </w14:textFill>
        </w:rPr>
        <w:t>（具体投资金额以财政</w:t>
      </w:r>
      <w:bookmarkStart w:id="6" w:name="OLE_LINK1"/>
      <w:bookmarkStart w:id="7" w:name="OLE_LINK2"/>
      <w:r>
        <w:rPr>
          <w:rFonts w:hint="eastAsia" w:ascii="宋体" w:hAnsi="宋体" w:eastAsia="宋体" w:cs="宋体"/>
          <w:color w:val="000000" w:themeColor="text1"/>
          <w:szCs w:val="21"/>
          <w:highlight w:val="none"/>
          <w:u w:val="single"/>
          <w:lang w:eastAsia="zh-CN"/>
          <w14:textFill>
            <w14:solidFill>
              <w14:schemeClr w14:val="tx1"/>
            </w14:solidFill>
          </w14:textFill>
        </w:rPr>
        <w:t>部门实际批复</w:t>
      </w:r>
      <w:bookmarkEnd w:id="6"/>
      <w:bookmarkEnd w:id="7"/>
      <w:r>
        <w:rPr>
          <w:rFonts w:hint="eastAsia" w:ascii="宋体" w:hAnsi="宋体" w:eastAsia="宋体" w:cs="宋体"/>
          <w:color w:val="000000" w:themeColor="text1"/>
          <w:szCs w:val="21"/>
          <w:highlight w:val="none"/>
          <w:u w:val="single"/>
          <w14:textFill>
            <w14:solidFill>
              <w14:schemeClr w14:val="tx1"/>
            </w14:solidFill>
          </w14:textFill>
        </w:rPr>
        <w:t>下达的城市维护维修资金</w:t>
      </w:r>
      <w:r>
        <w:rPr>
          <w:rFonts w:hint="eastAsia" w:ascii="宋体" w:hAnsi="宋体" w:eastAsia="宋体" w:cs="宋体"/>
          <w:color w:val="000000" w:themeColor="text1"/>
          <w:szCs w:val="21"/>
          <w:highlight w:val="none"/>
          <w:u w:val="single"/>
          <w:lang w:eastAsia="zh-CN"/>
          <w14:textFill>
            <w14:solidFill>
              <w14:schemeClr w14:val="tx1"/>
            </w14:solidFill>
          </w14:textFill>
        </w:rPr>
        <w:t>额度和经发包人确认的</w:t>
      </w:r>
      <w:r>
        <w:rPr>
          <w:rFonts w:hint="eastAsia" w:ascii="宋体" w:hAnsi="宋体" w:eastAsia="宋体" w:cs="宋体"/>
          <w:color w:val="000000" w:themeColor="text1"/>
          <w:szCs w:val="21"/>
          <w:highlight w:val="none"/>
          <w:u w:val="single"/>
          <w14:textFill>
            <w14:solidFill>
              <w14:schemeClr w14:val="tx1"/>
            </w14:solidFill>
          </w14:textFill>
        </w:rPr>
        <w:t>实际实施工程量为准）。</w:t>
      </w:r>
      <w:bookmarkEnd w:id="5"/>
    </w:p>
    <w:p w14:paraId="24B0D1DE">
      <w:pPr>
        <w:pStyle w:val="16"/>
        <w:wordWrap w:val="0"/>
        <w:spacing w:line="440" w:lineRule="exact"/>
        <w:ind w:firstLine="411" w:firstLineChars="196"/>
        <w:rPr>
          <w:rFonts w:ascii="宋体" w:hAnsi="宋体" w:eastAsia="宋体" w:cs="宋体"/>
          <w:bCs/>
          <w:color w:val="000000" w:themeColor="text1"/>
          <w:szCs w:val="21"/>
          <w:u w:val="single"/>
          <w:lang w:eastAsia="zh-CN"/>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6.工程承包范围：</w:t>
      </w:r>
      <w:r>
        <w:rPr>
          <w:rFonts w:hint="eastAsia" w:ascii="宋体" w:hAnsi="宋体" w:eastAsia="宋体" w:cs="宋体"/>
          <w:bCs/>
          <w:color w:val="000000" w:themeColor="text1"/>
          <w:szCs w:val="21"/>
          <w:u w:val="single"/>
          <w14:textFill>
            <w14:solidFill>
              <w14:schemeClr w14:val="tx1"/>
            </w14:solidFill>
          </w14:textFill>
        </w:rPr>
        <w:t>道路、排水、桥隧及下穿通道土建等市政设施及其附属设施日常维护、</w:t>
      </w:r>
      <w:r>
        <w:rPr>
          <w:rFonts w:hint="eastAsia" w:ascii="宋体" w:hAnsi="宋体" w:eastAsia="宋体" w:cs="宋体"/>
          <w:color w:val="000000" w:themeColor="text1"/>
          <w:szCs w:val="21"/>
          <w:u w:val="single"/>
          <w14:textFill>
            <w14:solidFill>
              <w14:schemeClr w14:val="tx1"/>
            </w14:solidFill>
          </w14:textFill>
        </w:rPr>
        <w:t>中修、应急抢险</w:t>
      </w:r>
      <w:r>
        <w:rPr>
          <w:rFonts w:hint="eastAsia" w:ascii="宋体" w:hAnsi="宋体" w:eastAsia="宋体" w:cs="宋体"/>
          <w:color w:val="000000" w:themeColor="text1"/>
          <w:szCs w:val="21"/>
          <w:u w:val="single"/>
          <w:lang w:eastAsia="zh-CN"/>
          <w14:textFill>
            <w14:solidFill>
              <w14:schemeClr w14:val="tx1"/>
            </w14:solidFill>
          </w14:textFill>
        </w:rPr>
        <w:t>及上级交办的其他工作任务</w:t>
      </w:r>
      <w:r>
        <w:rPr>
          <w:rFonts w:hint="eastAsia" w:ascii="宋体" w:hAnsi="宋体" w:eastAsia="宋体" w:cs="宋体"/>
          <w:bCs/>
          <w:color w:val="000000" w:themeColor="text1"/>
          <w:szCs w:val="21"/>
          <w:u w:val="single"/>
          <w14:textFill>
            <w14:solidFill>
              <w14:schemeClr w14:val="tx1"/>
            </w14:solidFill>
          </w14:textFill>
        </w:rPr>
        <w:t>。</w:t>
      </w:r>
      <w:bookmarkStart w:id="8" w:name="auto_fouce_2"/>
    </w:p>
    <w:bookmarkEnd w:id="8"/>
    <w:p w14:paraId="3A395AE0">
      <w:pPr>
        <w:pStyle w:val="24"/>
        <w:wordWrap w:val="0"/>
        <w:spacing w:before="0" w:after="0" w:line="440" w:lineRule="exact"/>
        <w:rPr>
          <w:rFonts w:ascii="宋体" w:hAnsi="宋体" w:cs="宋体"/>
          <w:bCs w:val="0"/>
          <w:color w:val="000000" w:themeColor="text1"/>
          <w:sz w:val="21"/>
          <w:szCs w:val="21"/>
          <w14:textFill>
            <w14:solidFill>
              <w14:schemeClr w14:val="tx1"/>
            </w14:solidFill>
          </w14:textFill>
        </w:rPr>
      </w:pPr>
      <w:bookmarkStart w:id="9" w:name="_Toc63471431"/>
      <w:r>
        <w:rPr>
          <w:rFonts w:hint="eastAsia" w:ascii="宋体" w:hAnsi="宋体" w:cs="宋体"/>
          <w:bCs w:val="0"/>
          <w:color w:val="000000" w:themeColor="text1"/>
          <w:sz w:val="21"/>
          <w:szCs w:val="21"/>
          <w14:textFill>
            <w14:solidFill>
              <w14:schemeClr w14:val="tx1"/>
            </w14:solidFill>
          </w14:textFill>
        </w:rPr>
        <w:t xml:space="preserve">    二、合同工期</w:t>
      </w:r>
      <w:bookmarkEnd w:id="9"/>
    </w:p>
    <w:p w14:paraId="7285B154">
      <w:pPr>
        <w:pStyle w:val="16"/>
        <w:widowControl/>
        <w:wordWrap w:val="0"/>
        <w:spacing w:line="440" w:lineRule="exact"/>
        <w:ind w:firstLine="424" w:firstLineChars="202"/>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服务期限：</w:t>
      </w:r>
      <w:r>
        <w:rPr>
          <w:rFonts w:hint="eastAsia" w:ascii="宋体" w:hAnsi="宋体" w:eastAsia="宋体" w:cs="宋体"/>
          <w:bCs/>
          <w:color w:val="000000" w:themeColor="text1"/>
          <w:szCs w:val="21"/>
          <w:lang w:val="en-US" w:eastAsia="zh-CN"/>
          <w14:textFill>
            <w14:solidFill>
              <w14:schemeClr w14:val="tx1"/>
            </w14:solidFill>
          </w14:textFill>
        </w:rPr>
        <w:t>2026年10月1日-2029年9月30日，共计三年。</w:t>
      </w:r>
    </w:p>
    <w:p w14:paraId="30FF2648">
      <w:pPr>
        <w:pStyle w:val="24"/>
        <w:wordWrap w:val="0"/>
        <w:spacing w:before="0" w:after="0" w:line="440" w:lineRule="exact"/>
        <w:rPr>
          <w:rFonts w:ascii="宋体" w:hAnsi="宋体" w:cs="宋体"/>
          <w:color w:val="000000" w:themeColor="text1"/>
          <w:sz w:val="21"/>
          <w:szCs w:val="21"/>
          <w14:textFill>
            <w14:solidFill>
              <w14:schemeClr w14:val="tx1"/>
            </w14:solidFill>
          </w14:textFill>
        </w:rPr>
      </w:pPr>
      <w:bookmarkStart w:id="10" w:name="_Toc63471432"/>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 xml:space="preserve"> 三、质量标准</w:t>
      </w:r>
      <w:bookmarkEnd w:id="10"/>
    </w:p>
    <w:p w14:paraId="5281A051">
      <w:pPr>
        <w:pStyle w:val="16"/>
        <w:wordWrap w:val="0"/>
        <w:spacing w:line="440" w:lineRule="exact"/>
        <w:ind w:firstLine="459"/>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u w:val="single"/>
          <w14:textFill>
            <w14:solidFill>
              <w14:schemeClr w14:val="tx1"/>
            </w14:solidFill>
          </w14:textFill>
        </w:rPr>
        <w:t>符合《城镇道路工程施工与质量验收规范》（CJJ-2008）、《城镇道路养护技术规范》（CJJ36-2016）、《给水排水管道工程施工与质量验收规范》（CB50268-2008）要求。</w:t>
      </w:r>
      <w:r>
        <w:rPr>
          <w:rFonts w:hint="eastAsia" w:ascii="宋体" w:hAnsi="宋体" w:eastAsia="宋体" w:cs="宋体"/>
          <w:color w:val="auto"/>
          <w:szCs w:val="21"/>
          <w:highlight w:val="none"/>
          <w:u w:val="single"/>
          <w:lang w:eastAsia="zh-CN"/>
        </w:rPr>
        <w:t>如国家或行业标准更新，承包人应按最新标准执行。验收流程包括承包人自检、发包人或监理抽查、整改复查、最终验收，验收时限为收到验收通知后5个工作日内完成。发现不合格项，承包人应在发包人要求的时限内整改，整改后复查，仍不合格的，发包人有权要求返工并扣除相应违约金。</w:t>
      </w:r>
    </w:p>
    <w:p w14:paraId="68263F36">
      <w:pPr>
        <w:pStyle w:val="24"/>
        <w:wordWrap w:val="0"/>
        <w:spacing w:before="0" w:after="0" w:line="440" w:lineRule="exact"/>
        <w:rPr>
          <w:rFonts w:ascii="宋体" w:hAnsi="宋体" w:cs="宋体"/>
          <w:color w:val="000000" w:themeColor="text1"/>
          <w:sz w:val="21"/>
          <w:szCs w:val="21"/>
          <w14:textFill>
            <w14:solidFill>
              <w14:schemeClr w14:val="tx1"/>
            </w14:solidFill>
          </w14:textFill>
        </w:rPr>
      </w:pPr>
      <w:bookmarkStart w:id="11" w:name="_Toc63471433"/>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b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四、签约合同价与合同价格形式</w:t>
      </w:r>
      <w:r>
        <w:rPr>
          <w:rFonts w:hint="eastAsia" w:ascii="宋体" w:hAnsi="宋体" w:cs="宋体"/>
          <w:color w:val="000000" w:themeColor="text1"/>
          <w:sz w:val="21"/>
          <w:szCs w:val="21"/>
          <w14:textFill>
            <w14:solidFill>
              <w14:schemeClr w14:val="tx1"/>
            </w14:solidFill>
          </w14:textFill>
        </w:rPr>
        <w:tab/>
      </w:r>
      <w:bookmarkEnd w:id="11"/>
    </w:p>
    <w:p w14:paraId="0241DB9A">
      <w:pPr>
        <w:pStyle w:val="16"/>
        <w:wordWrap w:val="0"/>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1.签约合同价为：</w:t>
      </w:r>
    </w:p>
    <w:p w14:paraId="6E255A62">
      <w:pPr>
        <w:pStyle w:val="16"/>
        <w:wordWrap w:val="0"/>
        <w:spacing w:line="440" w:lineRule="exact"/>
        <w:ind w:firstLine="525" w:firstLineChars="250"/>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人民币（大写）</w:t>
      </w:r>
      <w:r>
        <w:rPr>
          <w:rFonts w:hint="eastAsia" w:ascii="宋体" w:hAnsi="宋体" w:eastAsia="宋体" w:cs="宋体"/>
          <w:color w:val="000000" w:themeColor="text1"/>
          <w:szCs w:val="21"/>
          <w:u w:val="single"/>
          <w:lang w:eastAsia="zh-CN"/>
          <w14:textFill>
            <w14:solidFill>
              <w14:schemeClr w14:val="tx1"/>
            </w14:solidFill>
          </w14:textFill>
        </w:rPr>
        <w:t>壹仟捌佰万元整</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u w:val="single"/>
          <w:lang w:val="en-US" w:eastAsia="zh-CN"/>
          <w14:textFill>
            <w14:solidFill>
              <w14:schemeClr w14:val="tx1"/>
            </w14:solidFill>
          </w14:textFill>
        </w:rPr>
        <w:t>18000000</w:t>
      </w:r>
      <w:r>
        <w:rPr>
          <w:rFonts w:hint="eastAsia" w:ascii="宋体" w:hAnsi="宋体" w:eastAsia="宋体" w:cs="宋体"/>
          <w:color w:val="000000" w:themeColor="text1"/>
          <w:szCs w:val="21"/>
          <w14:textFill>
            <w14:solidFill>
              <w14:schemeClr w14:val="tx1"/>
            </w14:solidFill>
          </w14:textFill>
        </w:rPr>
        <w:t>元)</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eastAsia="zh-CN"/>
          <w14:textFill>
            <w14:solidFill>
              <w14:schemeClr w14:val="tx1"/>
            </w14:solidFill>
          </w14:textFill>
        </w:rPr>
        <w:t>服务期限三年，</w:t>
      </w:r>
      <w:r>
        <w:rPr>
          <w:rFonts w:hint="eastAsia" w:ascii="宋体" w:hAnsi="宋体" w:eastAsia="宋体" w:cs="宋体"/>
          <w:color w:val="000000" w:themeColor="text1"/>
          <w:szCs w:val="21"/>
          <w:lang w:eastAsia="zh-CN"/>
          <w14:textFill>
            <w14:solidFill>
              <w14:schemeClr w14:val="tx1"/>
            </w14:solidFill>
          </w14:textFill>
        </w:rPr>
        <w:t>每年完成工程量约</w:t>
      </w:r>
      <w:r>
        <w:rPr>
          <w:rFonts w:hint="eastAsia" w:ascii="宋体" w:hAnsi="宋体" w:eastAsia="宋体" w:cs="宋体"/>
          <w:color w:val="000000" w:themeColor="text1"/>
          <w:szCs w:val="21"/>
          <w:lang w:val="en-US" w:eastAsia="zh-CN"/>
          <w14:textFill>
            <w14:solidFill>
              <w14:schemeClr w14:val="tx1"/>
            </w14:solidFill>
          </w14:textFill>
        </w:rPr>
        <w:t>600万元。</w:t>
      </w:r>
    </w:p>
    <w:p w14:paraId="35D11487">
      <w:pPr>
        <w:pStyle w:val="16"/>
        <w:wordWrap w:val="0"/>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2.合同价格形式：</w:t>
      </w:r>
      <w:r>
        <w:rPr>
          <w:rFonts w:hint="eastAsia" w:ascii="宋体" w:hAnsi="宋体" w:eastAsia="宋体" w:cs="宋体"/>
          <w:color w:val="000000" w:themeColor="text1"/>
          <w:szCs w:val="21"/>
          <w:u w:val="single"/>
          <w14:textFill>
            <w14:solidFill>
              <w14:schemeClr w14:val="tx1"/>
            </w14:solidFill>
          </w14:textFill>
        </w:rPr>
        <w:t>固定结算下浮率12%，按实结算</w:t>
      </w:r>
      <w:r>
        <w:rPr>
          <w:rFonts w:hint="eastAsia" w:ascii="宋体" w:hAnsi="宋体" w:eastAsia="宋体" w:cs="宋体"/>
          <w:color w:val="000000" w:themeColor="text1"/>
          <w:szCs w:val="21"/>
          <w14:textFill>
            <w14:solidFill>
              <w14:schemeClr w14:val="tx1"/>
            </w14:solidFill>
          </w14:textFill>
        </w:rPr>
        <w:t>。</w:t>
      </w:r>
    </w:p>
    <w:p w14:paraId="4D7189BB">
      <w:pPr>
        <w:pStyle w:val="24"/>
        <w:wordWrap w:val="0"/>
        <w:spacing w:before="0" w:after="0" w:line="440" w:lineRule="exact"/>
        <w:rPr>
          <w:rFonts w:ascii="宋体" w:hAnsi="宋体" w:cs="宋体"/>
          <w:color w:val="000000" w:themeColor="text1"/>
          <w:sz w:val="21"/>
          <w:szCs w:val="21"/>
          <w14:textFill>
            <w14:solidFill>
              <w14:schemeClr w14:val="tx1"/>
            </w14:solidFill>
          </w14:textFill>
        </w:rPr>
      </w:pPr>
      <w:bookmarkStart w:id="12" w:name="_Toc63471434"/>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 xml:space="preserve"> 五、项目负责人</w:t>
      </w:r>
      <w:bookmarkEnd w:id="12"/>
    </w:p>
    <w:p w14:paraId="7F7117A9">
      <w:pPr>
        <w:pStyle w:val="16"/>
        <w:wordWrap w:val="0"/>
        <w:spacing w:line="440" w:lineRule="exact"/>
        <w:ind w:firstLine="420" w:firstLineChars="200"/>
        <w:rPr>
          <w:rFonts w:ascii="宋体" w:hAnsi="宋体" w:eastAsia="宋体" w:cs="宋体"/>
          <w:color w:val="000000" w:themeColor="text1"/>
          <w:szCs w:val="21"/>
          <w:u w:val="singl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承包人项目负责人：</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u w:val="none"/>
          <w:lang w:val="en-US" w:eastAsia="zh-CN"/>
          <w14:textFill>
            <w14:solidFill>
              <w14:schemeClr w14:val="tx1"/>
            </w14:solidFill>
          </w14:textFill>
        </w:rPr>
        <w:t>。</w:t>
      </w:r>
    </w:p>
    <w:p w14:paraId="2B75ED00">
      <w:pPr>
        <w:pStyle w:val="24"/>
        <w:wordWrap w:val="0"/>
        <w:spacing w:before="0" w:after="0" w:line="440" w:lineRule="exact"/>
        <w:rPr>
          <w:rFonts w:ascii="宋体" w:hAnsi="宋体" w:cs="宋体"/>
          <w:color w:val="000000" w:themeColor="text1"/>
          <w:sz w:val="21"/>
          <w:szCs w:val="21"/>
          <w14:textFill>
            <w14:solidFill>
              <w14:schemeClr w14:val="tx1"/>
            </w14:solidFill>
          </w14:textFill>
        </w:rPr>
      </w:pPr>
      <w:bookmarkStart w:id="13" w:name="_Toc63471435"/>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b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六、合同文件构成</w:t>
      </w:r>
      <w:bookmarkEnd w:id="13"/>
    </w:p>
    <w:p w14:paraId="52F2D6AC">
      <w:pPr>
        <w:pStyle w:val="16"/>
        <w:wordWrap w:val="0"/>
        <w:spacing w:line="440" w:lineRule="exact"/>
        <w:ind w:firstLine="420" w:firstLineChars="20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本协议书与下列文件一起构成合同文件：</w:t>
      </w:r>
    </w:p>
    <w:p w14:paraId="0DF476B2">
      <w:pPr>
        <w:pStyle w:val="16"/>
        <w:wordWrap w:val="0"/>
        <w:autoSpaceDE/>
        <w:autoSpaceDN/>
        <w:spacing w:line="300" w:lineRule="exact"/>
        <w:ind w:firstLine="420" w:firstLineChars="20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（1）中标通知书；</w:t>
      </w:r>
    </w:p>
    <w:p w14:paraId="53EC153F">
      <w:pPr>
        <w:pStyle w:val="16"/>
        <w:wordWrap w:val="0"/>
        <w:autoSpaceDE/>
        <w:autoSpaceDN/>
        <w:spacing w:line="3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（2）投标承诺函及其附录； </w:t>
      </w:r>
    </w:p>
    <w:p w14:paraId="70B44B48">
      <w:pPr>
        <w:pStyle w:val="16"/>
        <w:wordWrap w:val="0"/>
        <w:autoSpaceDE/>
        <w:autoSpaceDN/>
        <w:spacing w:line="3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（3）专用合同条款；</w:t>
      </w:r>
    </w:p>
    <w:p w14:paraId="0BC08F06">
      <w:pPr>
        <w:pStyle w:val="16"/>
        <w:wordWrap w:val="0"/>
        <w:autoSpaceDE/>
        <w:autoSpaceDN/>
        <w:spacing w:line="3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（4）通用合同条款；</w:t>
      </w:r>
    </w:p>
    <w:p w14:paraId="1537F97C">
      <w:pPr>
        <w:pStyle w:val="16"/>
        <w:wordWrap w:val="0"/>
        <w:autoSpaceDE/>
        <w:autoSpaceDN/>
        <w:spacing w:line="3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（5）技术标准和要求；</w:t>
      </w:r>
    </w:p>
    <w:p w14:paraId="6F27FBCB">
      <w:pPr>
        <w:pStyle w:val="16"/>
        <w:wordWrap w:val="0"/>
        <w:autoSpaceDE/>
        <w:autoSpaceDN/>
        <w:spacing w:line="3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（6）其他合同文件。</w:t>
      </w:r>
    </w:p>
    <w:p w14:paraId="49AE46DD">
      <w:pPr>
        <w:pStyle w:val="16"/>
        <w:wordWrap w:val="0"/>
        <w:autoSpaceDE/>
        <w:autoSpaceDN/>
        <w:spacing w:line="3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在合同订立及履行过程中形成的与合同有关的文件均构成合同文件组成部分。</w:t>
      </w:r>
    </w:p>
    <w:p w14:paraId="63854858">
      <w:pPr>
        <w:pStyle w:val="16"/>
        <w:wordWrap w:val="0"/>
        <w:autoSpaceDE/>
        <w:autoSpaceDN/>
        <w:spacing w:line="300" w:lineRule="exact"/>
        <w:ind w:firstLine="420" w:firstLineChars="200"/>
        <w:jc w:val="left"/>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上述各项合同文件包括合同当事人就该项合同文件所做出的补充和修改，属于同一类内容的文件，应以最新签署的为准。专用合同条款及其附件须经合同当事人签字或盖章。</w:t>
      </w:r>
      <w:bookmarkStart w:id="14" w:name="auto_fouce_3"/>
    </w:p>
    <w:p w14:paraId="62D1FA1F">
      <w:pPr>
        <w:pStyle w:val="16"/>
        <w:wordWrap w:val="0"/>
        <w:autoSpaceDE/>
        <w:autoSpaceDN/>
        <w:spacing w:line="300" w:lineRule="exact"/>
        <w:ind w:firstLine="420" w:firstLineChars="200"/>
        <w:jc w:val="left"/>
        <w:rPr>
          <w:rFonts w:ascii="宋体" w:hAnsi="宋体" w:eastAsia="宋体" w:cs="宋体"/>
          <w:color w:val="000000" w:themeColor="text1"/>
          <w:szCs w:val="21"/>
          <w:u w:val="none"/>
          <w:lang w:eastAsia="zh-CN"/>
          <w14:textFill>
            <w14:solidFill>
              <w14:schemeClr w14:val="tx1"/>
            </w14:solidFill>
          </w14:textFill>
        </w:rPr>
      </w:pPr>
      <w:r>
        <w:rPr>
          <w:rFonts w:hint="eastAsia" w:ascii="宋体" w:hAnsi="宋体" w:eastAsia="宋体" w:cs="宋体"/>
          <w:color w:val="000000" w:themeColor="text1"/>
          <w:szCs w:val="21"/>
          <w:u w:val="none"/>
          <w:lang w:eastAsia="zh-CN"/>
          <w14:textFill>
            <w14:solidFill>
              <w14:schemeClr w14:val="tx1"/>
            </w14:solidFill>
          </w14:textFill>
        </w:rPr>
        <w:t>如合同文件内容存在歧义或不一致时，优先顺序依次为：中标通知书、投标承诺函及其附录、专用合同条款、通用合同条款、技术标准和要求、补充协议及合同履行过程中形成的其他文件、其他合同文件。补充协议及后续形成文件如与前述文件存在冲突，以发包人书面确认的内容为准。承包人不得以合同文件顺序或内容不明为由规避责任或主张不利于发包人的解释。如仍有歧义，应以有利于发包人解释为准。</w:t>
      </w:r>
      <w:bookmarkEnd w:id="14"/>
    </w:p>
    <w:p w14:paraId="7A0C03B0">
      <w:pPr>
        <w:pStyle w:val="24"/>
        <w:wordWrap w:val="0"/>
        <w:spacing w:before="0" w:after="0" w:line="300" w:lineRule="exact"/>
        <w:rPr>
          <w:rFonts w:ascii="宋体" w:hAnsi="宋体" w:cs="宋体"/>
          <w:color w:val="000000" w:themeColor="text1"/>
          <w:sz w:val="21"/>
          <w:szCs w:val="21"/>
          <w14:textFill>
            <w14:solidFill>
              <w14:schemeClr w14:val="tx1"/>
            </w14:solidFill>
          </w14:textFill>
        </w:rPr>
      </w:pPr>
      <w:bookmarkStart w:id="15" w:name="_Toc63471436"/>
      <w:r>
        <w:rPr>
          <w:rFonts w:hint="eastAsia" w:ascii="宋体" w:hAnsi="宋体" w:cs="宋体"/>
          <w:b w:val="0"/>
          <w:bCs w:val="0"/>
          <w:color w:val="000000" w:themeColor="text1"/>
          <w:sz w:val="21"/>
          <w:szCs w:val="21"/>
          <w14:textFill>
            <w14:solidFill>
              <w14:schemeClr w14:val="tx1"/>
            </w14:solidFill>
          </w14:textFill>
        </w:rPr>
        <w:t xml:space="preserve">   </w:t>
      </w:r>
      <w:r>
        <w:rPr>
          <w:rFonts w:hint="eastAsia" w:ascii="宋体" w:hAnsi="宋体" w:cs="宋体"/>
          <w:b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七、承诺</w:t>
      </w:r>
      <w:bookmarkEnd w:id="15"/>
    </w:p>
    <w:p w14:paraId="4ECB04A1">
      <w:pPr>
        <w:pStyle w:val="16"/>
        <w:wordWrap w:val="0"/>
        <w:spacing w:line="300" w:lineRule="exact"/>
        <w:ind w:firstLine="420" w:firstLineChars="20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1.发包人承诺按照法律规定履行项目审批手续、筹集工程建设资金并按照合同约定的期限和方式支付合同价款。</w:t>
      </w:r>
    </w:p>
    <w:p w14:paraId="41F8E8A7">
      <w:pPr>
        <w:pStyle w:val="16"/>
        <w:wordWrap w:val="0"/>
        <w:spacing w:line="300" w:lineRule="exact"/>
        <w:ind w:firstLine="420" w:firstLineChars="20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25D8C7FA">
      <w:pPr>
        <w:pStyle w:val="16"/>
        <w:wordWrap w:val="0"/>
        <w:spacing w:line="300" w:lineRule="exact"/>
        <w:ind w:firstLine="420" w:firstLineChars="20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3.发包人和承包人通过招投标形式签订合同的，双方理解并承诺不再就同一工程另行签订与合同实质性内容相背离的协议。</w:t>
      </w:r>
    </w:p>
    <w:p w14:paraId="5CA8CA4A">
      <w:pPr>
        <w:pStyle w:val="24"/>
        <w:wordWrap w:val="0"/>
        <w:spacing w:before="0" w:after="0" w:line="300" w:lineRule="exact"/>
        <w:rPr>
          <w:rFonts w:hint="eastAsia" w:ascii="宋体" w:hAnsi="宋体" w:cs="宋体"/>
          <w:b/>
          <w:bCs w:val="0"/>
          <w:color w:val="000000" w:themeColor="text1"/>
          <w:sz w:val="21"/>
          <w:szCs w:val="21"/>
          <w:lang w:val="en-US" w:eastAsia="zh-CN"/>
          <w14:textFill>
            <w14:solidFill>
              <w14:schemeClr w14:val="tx1"/>
            </w14:solidFill>
          </w14:textFill>
        </w:rPr>
      </w:pPr>
      <w:bookmarkStart w:id="16" w:name="_Toc63471437"/>
      <w:r>
        <w:rPr>
          <w:rFonts w:hint="eastAsia" w:ascii="宋体" w:hAnsi="宋体" w:cs="宋体"/>
          <w:b w:val="0"/>
          <w:color w:val="000000" w:themeColor="text1"/>
          <w:sz w:val="21"/>
          <w:szCs w:val="21"/>
          <w14:textFill>
            <w14:solidFill>
              <w14:schemeClr w14:val="tx1"/>
            </w14:solidFill>
          </w14:textFill>
        </w:rPr>
        <w:t xml:space="preserve"> </w:t>
      </w:r>
      <w:r>
        <w:rPr>
          <w:rFonts w:hint="eastAsia" w:ascii="宋体" w:hAnsi="宋体" w:cs="宋体"/>
          <w:b w:val="0"/>
          <w:color w:val="000000" w:themeColor="text1"/>
          <w:sz w:val="21"/>
          <w:szCs w:val="21"/>
          <w:lang w:val="en-US" w:eastAsia="zh-CN"/>
          <w14:textFill>
            <w14:solidFill>
              <w14:schemeClr w14:val="tx1"/>
            </w14:solidFill>
          </w14:textFill>
        </w:rPr>
        <w:t xml:space="preserve"> </w:t>
      </w:r>
      <w:r>
        <w:rPr>
          <w:rFonts w:hint="eastAsia" w:ascii="宋体" w:hAnsi="宋体" w:cs="宋体"/>
          <w:b/>
          <w:bCs w:val="0"/>
          <w:color w:val="000000" w:themeColor="text1"/>
          <w:sz w:val="21"/>
          <w:szCs w:val="21"/>
          <w:lang w:val="en-US" w:eastAsia="zh-CN"/>
          <w14:textFill>
            <w14:solidFill>
              <w14:schemeClr w14:val="tx1"/>
            </w14:solidFill>
          </w14:textFill>
        </w:rPr>
        <w:t xml:space="preserve"> 八、通知与送达</w:t>
      </w:r>
    </w:p>
    <w:p w14:paraId="330EC9CA">
      <w:pPr>
        <w:pStyle w:val="24"/>
        <w:wordWrap w:val="0"/>
        <w:spacing w:before="0" w:after="0" w:line="300" w:lineRule="exact"/>
        <w:rPr>
          <w:rFonts w:hint="eastAsia" w:ascii="宋体" w:hAnsi="宋体" w:cs="宋体"/>
          <w:b/>
          <w:bCs w:val="0"/>
          <w:color w:val="000000" w:themeColor="text1"/>
          <w:sz w:val="21"/>
          <w:szCs w:val="21"/>
          <w14:textFill>
            <w14:solidFill>
              <w14:schemeClr w14:val="tx1"/>
            </w14:solidFill>
          </w14:textFill>
        </w:rPr>
      </w:pPr>
      <w:r>
        <w:rPr>
          <w:rFonts w:hint="eastAsia" w:ascii="宋体" w:hAnsi="宋体" w:cs="宋体"/>
          <w:b w:val="0"/>
          <w:color w:val="000000" w:themeColor="text1"/>
          <w:sz w:val="21"/>
          <w:szCs w:val="21"/>
          <w:lang w:val="en-US" w:eastAsia="zh-CN"/>
          <w14:textFill>
            <w14:solidFill>
              <w14:schemeClr w14:val="tx1"/>
            </w14:solidFill>
          </w14:textFill>
        </w:rPr>
        <w:t xml:space="preserve">   合同各方确认以下送达地址为法律文件送达地址：发包人地址为福建省龙岩市新罗区龙岩大道中33号，承包人地址以投标文件记载为准。任何一方变更地址应提前5个工作日书面通知对方。通过EMS邮寄的，寄出后第三日视为送达。</w:t>
      </w:r>
      <w:r>
        <w:rPr>
          <w:rFonts w:hint="eastAsia" w:ascii="宋体" w:hAnsi="宋体" w:cs="宋体"/>
          <w:b/>
          <w:bCs w:val="0"/>
          <w:color w:val="000000" w:themeColor="text1"/>
          <w:sz w:val="21"/>
          <w:szCs w:val="21"/>
          <w14:textFill>
            <w14:solidFill>
              <w14:schemeClr w14:val="tx1"/>
            </w14:solidFill>
          </w14:textFill>
        </w:rPr>
        <w:t xml:space="preserve"> </w:t>
      </w:r>
    </w:p>
    <w:p w14:paraId="6FE40EF7">
      <w:pPr>
        <w:pStyle w:val="24"/>
        <w:wordWrap w:val="0"/>
        <w:spacing w:before="0" w:after="0" w:line="300" w:lineRule="exact"/>
        <w:ind w:firstLine="422" w:firstLineChars="200"/>
        <w:rPr>
          <w:rFonts w:hint="eastAsia" w:ascii="宋体" w:hAnsi="宋体" w:cs="宋体"/>
          <w:b/>
          <w:bCs w:val="0"/>
          <w:color w:val="000000" w:themeColor="text1"/>
          <w:sz w:val="21"/>
          <w:szCs w:val="21"/>
          <w:lang w:eastAsia="zh-CN"/>
          <w14:textFill>
            <w14:solidFill>
              <w14:schemeClr w14:val="tx1"/>
            </w14:solidFill>
          </w14:textFill>
        </w:rPr>
      </w:pPr>
      <w:r>
        <w:rPr>
          <w:rFonts w:hint="eastAsia" w:ascii="宋体" w:hAnsi="宋体" w:cs="宋体"/>
          <w:b/>
          <w:bCs w:val="0"/>
          <w:color w:val="000000" w:themeColor="text1"/>
          <w:sz w:val="21"/>
          <w:szCs w:val="21"/>
          <w:lang w:eastAsia="zh-CN"/>
          <w14:textFill>
            <w14:solidFill>
              <w14:schemeClr w14:val="tx1"/>
            </w14:solidFill>
          </w14:textFill>
        </w:rPr>
        <w:t>九、争议解决</w:t>
      </w:r>
    </w:p>
    <w:p w14:paraId="5D8554AF">
      <w:pPr>
        <w:pStyle w:val="24"/>
        <w:wordWrap w:val="0"/>
        <w:spacing w:before="0" w:after="0" w:line="300" w:lineRule="exact"/>
        <w:ind w:firstLine="420" w:firstLineChars="200"/>
        <w:rPr>
          <w:rFonts w:hint="default" w:ascii="宋体" w:hAnsi="宋体" w:eastAsia="宋体" w:cs="宋体"/>
          <w:b w:val="0"/>
          <w:color w:val="000000" w:themeColor="text1"/>
          <w:sz w:val="21"/>
          <w:szCs w:val="21"/>
          <w:lang w:val="en-US" w:eastAsia="zh-CN"/>
          <w14:textFill>
            <w14:solidFill>
              <w14:schemeClr w14:val="tx1"/>
            </w14:solidFill>
          </w14:textFill>
        </w:rPr>
      </w:pPr>
      <w:r>
        <w:rPr>
          <w:rFonts w:hint="eastAsia" w:ascii="宋体" w:hAnsi="宋体" w:cs="宋体"/>
          <w:b w:val="0"/>
          <w:color w:val="000000" w:themeColor="text1"/>
          <w:sz w:val="21"/>
          <w:szCs w:val="21"/>
          <w:lang w:eastAsia="zh-CN"/>
          <w14:textFill>
            <w14:solidFill>
              <w14:schemeClr w14:val="tx1"/>
            </w14:solidFill>
          </w14:textFill>
        </w:rPr>
        <w:t>因合同引起的或与本合同有关的任何争议，由双方协商解决；协商不成的，任何一方均可向发包人所在地有管辖权的人民法院提起诉讼。</w:t>
      </w:r>
    </w:p>
    <w:p w14:paraId="52E09703">
      <w:pPr>
        <w:pStyle w:val="24"/>
        <w:wordWrap w:val="0"/>
        <w:spacing w:before="0" w:after="0" w:line="300" w:lineRule="exact"/>
        <w:rPr>
          <w:rFonts w:ascii="宋体" w:hAnsi="宋体" w:cs="宋体"/>
          <w:bCs w:val="0"/>
          <w:color w:val="000000" w:themeColor="text1"/>
          <w:sz w:val="21"/>
          <w:szCs w:val="21"/>
          <w14:textFill>
            <w14:solidFill>
              <w14:schemeClr w14:val="tx1"/>
            </w14:solidFill>
          </w14:textFill>
        </w:rPr>
      </w:pPr>
      <w:r>
        <w:rPr>
          <w:rFonts w:hint="eastAsia" w:ascii="宋体" w:hAnsi="宋体" w:cs="宋体"/>
          <w:b w:val="0"/>
          <w:color w:val="000000" w:themeColor="text1"/>
          <w:sz w:val="21"/>
          <w:szCs w:val="21"/>
          <w14:textFill>
            <w14:solidFill>
              <w14:schemeClr w14:val="tx1"/>
            </w14:solidFill>
          </w14:textFill>
        </w:rPr>
        <w:t xml:space="preserve"> </w:t>
      </w:r>
      <w:r>
        <w:rPr>
          <w:rFonts w:hint="eastAsia" w:ascii="宋体" w:hAnsi="宋体" w:cs="宋体"/>
          <w:b w:val="0"/>
          <w:color w:val="000000" w:themeColor="text1"/>
          <w:sz w:val="21"/>
          <w:szCs w:val="21"/>
          <w:lang w:val="en-US" w:eastAsia="zh-CN"/>
          <w14:textFill>
            <w14:solidFill>
              <w14:schemeClr w14:val="tx1"/>
            </w14:solidFill>
          </w14:textFill>
        </w:rPr>
        <w:t xml:space="preserve">  </w:t>
      </w:r>
      <w:r>
        <w:rPr>
          <w:rFonts w:hint="eastAsia" w:ascii="宋体" w:hAnsi="宋体" w:cs="宋体"/>
          <w:b/>
          <w:bCs w:val="0"/>
          <w:color w:val="000000" w:themeColor="text1"/>
          <w:sz w:val="21"/>
          <w:szCs w:val="21"/>
          <w:lang w:val="en-US" w:eastAsia="zh-CN"/>
          <w14:textFill>
            <w14:solidFill>
              <w14:schemeClr w14:val="tx1"/>
            </w14:solidFill>
          </w14:textFill>
        </w:rPr>
        <w:t xml:space="preserve"> 十</w:t>
      </w:r>
      <w:r>
        <w:rPr>
          <w:rFonts w:hint="eastAsia" w:ascii="宋体" w:hAnsi="宋体" w:cs="宋体"/>
          <w:bCs w:val="0"/>
          <w:color w:val="000000" w:themeColor="text1"/>
          <w:sz w:val="21"/>
          <w:szCs w:val="21"/>
          <w14:textFill>
            <w14:solidFill>
              <w14:schemeClr w14:val="tx1"/>
            </w14:solidFill>
          </w14:textFill>
        </w:rPr>
        <w:t>、词语含义</w:t>
      </w:r>
      <w:bookmarkEnd w:id="16"/>
    </w:p>
    <w:p w14:paraId="5411F4F8">
      <w:pPr>
        <w:pStyle w:val="16"/>
        <w:wordWrap w:val="0"/>
        <w:spacing w:line="300" w:lineRule="exact"/>
        <w:ind w:firstLine="420" w:firstLineChars="20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本协议书中词语含义与第二节通用合同条款中赋予的含义相同。</w:t>
      </w:r>
    </w:p>
    <w:p w14:paraId="48DDF4A6">
      <w:pPr>
        <w:pStyle w:val="24"/>
        <w:wordWrap w:val="0"/>
        <w:spacing w:before="0" w:after="0" w:line="300" w:lineRule="exact"/>
        <w:rPr>
          <w:rFonts w:ascii="宋体" w:hAnsi="宋体" w:cs="宋体"/>
          <w:bCs w:val="0"/>
          <w:color w:val="000000" w:themeColor="text1"/>
          <w:sz w:val="21"/>
          <w:szCs w:val="21"/>
          <w14:textFill>
            <w14:solidFill>
              <w14:schemeClr w14:val="tx1"/>
            </w14:solidFill>
          </w14:textFill>
        </w:rPr>
      </w:pPr>
      <w:bookmarkStart w:id="17" w:name="_Toc63471438"/>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b w:val="0"/>
          <w:color w:val="000000" w:themeColor="text1"/>
          <w:sz w:val="21"/>
          <w:szCs w:val="21"/>
          <w14:textFill>
            <w14:solidFill>
              <w14:schemeClr w14:val="tx1"/>
            </w14:solidFill>
          </w14:textFill>
        </w:rPr>
        <w:t xml:space="preserve"> </w:t>
      </w:r>
      <w:r>
        <w:rPr>
          <w:rFonts w:hint="eastAsia" w:ascii="宋体" w:hAnsi="宋体" w:cs="宋体"/>
          <w:b/>
          <w:bCs w:val="0"/>
          <w:color w:val="000000" w:themeColor="text1"/>
          <w:sz w:val="21"/>
          <w:szCs w:val="21"/>
          <w14:textFill>
            <w14:solidFill>
              <w14:schemeClr w14:val="tx1"/>
            </w14:solidFill>
          </w14:textFill>
        </w:rPr>
        <w:t xml:space="preserve"> </w:t>
      </w:r>
      <w:r>
        <w:rPr>
          <w:rFonts w:hint="eastAsia" w:ascii="宋体" w:hAnsi="宋体" w:cs="宋体"/>
          <w:b/>
          <w:bCs w:val="0"/>
          <w:color w:val="000000" w:themeColor="text1"/>
          <w:sz w:val="21"/>
          <w:szCs w:val="21"/>
          <w:lang w:eastAsia="zh-CN"/>
          <w14:textFill>
            <w14:solidFill>
              <w14:schemeClr w14:val="tx1"/>
            </w14:solidFill>
          </w14:textFill>
        </w:rPr>
        <w:t>十一</w:t>
      </w:r>
      <w:r>
        <w:rPr>
          <w:rFonts w:hint="eastAsia" w:ascii="宋体" w:hAnsi="宋体" w:cs="宋体"/>
          <w:bCs w:val="0"/>
          <w:color w:val="000000" w:themeColor="text1"/>
          <w:sz w:val="21"/>
          <w:szCs w:val="21"/>
          <w14:textFill>
            <w14:solidFill>
              <w14:schemeClr w14:val="tx1"/>
            </w14:solidFill>
          </w14:textFill>
        </w:rPr>
        <w:t>、签订时间</w:t>
      </w:r>
      <w:bookmarkEnd w:id="17"/>
    </w:p>
    <w:p w14:paraId="10810ED3">
      <w:pPr>
        <w:pStyle w:val="16"/>
        <w:wordWrap w:val="0"/>
        <w:spacing w:line="300" w:lineRule="exact"/>
        <w:ind w:firstLine="420" w:firstLineChars="20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本合同于</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年</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月</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日签订。</w:t>
      </w:r>
    </w:p>
    <w:p w14:paraId="6BF89320">
      <w:pPr>
        <w:pStyle w:val="24"/>
        <w:wordWrap w:val="0"/>
        <w:spacing w:before="0" w:after="0" w:line="300" w:lineRule="exact"/>
        <w:rPr>
          <w:rFonts w:ascii="宋体" w:hAnsi="宋体" w:cs="宋体"/>
          <w:bCs w:val="0"/>
          <w:color w:val="000000" w:themeColor="text1"/>
          <w:sz w:val="21"/>
          <w:szCs w:val="21"/>
          <w14:textFill>
            <w14:solidFill>
              <w14:schemeClr w14:val="tx1"/>
            </w14:solidFill>
          </w14:textFill>
        </w:rPr>
      </w:pPr>
      <w:bookmarkStart w:id="18" w:name="_Toc63471439"/>
      <w:r>
        <w:rPr>
          <w:rFonts w:hint="eastAsia" w:ascii="宋体" w:hAnsi="宋体" w:cs="宋体"/>
          <w:bCs w:val="0"/>
          <w:color w:val="000000" w:themeColor="text1"/>
          <w:sz w:val="21"/>
          <w:szCs w:val="21"/>
          <w14:textFill>
            <w14:solidFill>
              <w14:schemeClr w14:val="tx1"/>
            </w14:solidFill>
          </w14:textFill>
        </w:rPr>
        <w:t xml:space="preserve">    十</w:t>
      </w:r>
      <w:r>
        <w:rPr>
          <w:rFonts w:hint="eastAsia" w:ascii="宋体" w:hAnsi="宋体" w:cs="宋体"/>
          <w:bCs w:val="0"/>
          <w:color w:val="000000" w:themeColor="text1"/>
          <w:sz w:val="21"/>
          <w:szCs w:val="21"/>
          <w:lang w:eastAsia="zh-CN"/>
          <w14:textFill>
            <w14:solidFill>
              <w14:schemeClr w14:val="tx1"/>
            </w14:solidFill>
          </w14:textFill>
        </w:rPr>
        <w:t>二</w:t>
      </w:r>
      <w:r>
        <w:rPr>
          <w:rFonts w:hint="eastAsia" w:ascii="宋体" w:hAnsi="宋体" w:cs="宋体"/>
          <w:bCs w:val="0"/>
          <w:color w:val="000000" w:themeColor="text1"/>
          <w:sz w:val="21"/>
          <w:szCs w:val="21"/>
          <w14:textFill>
            <w14:solidFill>
              <w14:schemeClr w14:val="tx1"/>
            </w14:solidFill>
          </w14:textFill>
        </w:rPr>
        <w:t>、签订地点</w:t>
      </w:r>
      <w:bookmarkEnd w:id="18"/>
    </w:p>
    <w:p w14:paraId="63E35968">
      <w:pPr>
        <w:pStyle w:val="16"/>
        <w:wordWrap w:val="0"/>
        <w:spacing w:line="300" w:lineRule="exact"/>
        <w:ind w:firstLine="420" w:firstLineChars="200"/>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本合同在</w:t>
      </w:r>
      <w:r>
        <w:rPr>
          <w:rFonts w:hint="eastAsia" w:ascii="宋体" w:hAnsi="宋体" w:eastAsia="宋体" w:cs="宋体"/>
          <w:bCs/>
          <w:color w:val="000000" w:themeColor="text1"/>
          <w:szCs w:val="21"/>
          <w:u w:val="single"/>
          <w:lang w:eastAsia="zh-CN"/>
          <w14:textFill>
            <w14:solidFill>
              <w14:schemeClr w14:val="tx1"/>
            </w14:solidFill>
          </w14:textFill>
        </w:rPr>
        <w:t>龙岩市新罗区</w:t>
      </w:r>
      <w:r>
        <w:rPr>
          <w:rFonts w:hint="eastAsia" w:ascii="宋体" w:hAnsi="宋体" w:eastAsia="宋体" w:cs="宋体"/>
          <w:bCs/>
          <w:color w:val="000000" w:themeColor="text1"/>
          <w:szCs w:val="21"/>
          <w14:textFill>
            <w14:solidFill>
              <w14:schemeClr w14:val="tx1"/>
            </w14:solidFill>
          </w14:textFill>
        </w:rPr>
        <w:t>签订。</w:t>
      </w:r>
    </w:p>
    <w:p w14:paraId="008531B3">
      <w:pPr>
        <w:pStyle w:val="24"/>
        <w:wordWrap w:val="0"/>
        <w:spacing w:before="0" w:after="0" w:line="300" w:lineRule="exact"/>
        <w:rPr>
          <w:rFonts w:ascii="宋体" w:hAnsi="宋体" w:cs="宋体"/>
          <w:color w:val="000000" w:themeColor="text1"/>
          <w:sz w:val="21"/>
          <w:szCs w:val="21"/>
          <w14:textFill>
            <w14:solidFill>
              <w14:schemeClr w14:val="tx1"/>
            </w14:solidFill>
          </w14:textFill>
        </w:rPr>
      </w:pPr>
      <w:bookmarkStart w:id="19" w:name="_Toc63471440"/>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十</w:t>
      </w:r>
      <w:r>
        <w:rPr>
          <w:rFonts w:hint="eastAsia" w:ascii="宋体" w:hAnsi="宋体" w:cs="宋体"/>
          <w:color w:val="000000" w:themeColor="text1"/>
          <w:sz w:val="21"/>
          <w:szCs w:val="21"/>
          <w:lang w:eastAsia="zh-CN"/>
          <w14:textFill>
            <w14:solidFill>
              <w14:schemeClr w14:val="tx1"/>
            </w14:solidFill>
          </w14:textFill>
        </w:rPr>
        <w:t>三</w:t>
      </w:r>
      <w:r>
        <w:rPr>
          <w:rFonts w:hint="eastAsia" w:ascii="宋体" w:hAnsi="宋体" w:cs="宋体"/>
          <w:color w:val="000000" w:themeColor="text1"/>
          <w:sz w:val="21"/>
          <w:szCs w:val="21"/>
          <w14:textFill>
            <w14:solidFill>
              <w14:schemeClr w14:val="tx1"/>
            </w14:solidFill>
          </w14:textFill>
        </w:rPr>
        <w:t>、补充协议</w:t>
      </w:r>
      <w:bookmarkEnd w:id="19"/>
    </w:p>
    <w:p w14:paraId="6C9D519E">
      <w:pPr>
        <w:pStyle w:val="16"/>
        <w:wordWrap w:val="0"/>
        <w:spacing w:line="300" w:lineRule="exact"/>
        <w:ind w:firstLine="420" w:firstLineChars="200"/>
        <w:rPr>
          <w:rFonts w:ascii="宋体" w:hAnsi="宋体" w:eastAsia="宋体" w:cs="宋体"/>
          <w:b/>
          <w:bCs/>
          <w:color w:val="000000" w:themeColor="text1"/>
          <w:szCs w:val="21"/>
          <w14:textFill>
            <w14:solidFill>
              <w14:schemeClr w14:val="tx1"/>
            </w14:solidFill>
          </w14:textFill>
        </w:rPr>
      </w:pPr>
      <w:bookmarkStart w:id="20" w:name="auto_fouce_4"/>
      <w:r>
        <w:rPr>
          <w:rFonts w:hint="eastAsia" w:ascii="宋体" w:hAnsi="宋体" w:eastAsia="宋体" w:cs="宋体"/>
          <w:bCs/>
          <w:color w:val="000000" w:themeColor="text1"/>
          <w:szCs w:val="21"/>
          <w14:textFill>
            <w14:solidFill>
              <w14:schemeClr w14:val="tx1"/>
            </w14:solidFill>
          </w14:textFill>
        </w:rPr>
        <w:t>合同未尽事宜，合同当事人</w:t>
      </w:r>
      <w:r>
        <w:rPr>
          <w:rFonts w:hint="eastAsia" w:ascii="宋体" w:hAnsi="宋体" w:eastAsia="宋体" w:cs="宋体"/>
          <w:bCs/>
          <w:color w:val="000000" w:themeColor="text1"/>
          <w:szCs w:val="21"/>
          <w:lang w:eastAsia="zh-CN"/>
          <w14:textFill>
            <w14:solidFill>
              <w14:schemeClr w14:val="tx1"/>
            </w14:solidFill>
          </w14:textFill>
        </w:rPr>
        <w:t>可就具体未尽事项协商</w:t>
      </w:r>
      <w:r>
        <w:rPr>
          <w:rFonts w:hint="eastAsia" w:ascii="宋体" w:hAnsi="宋体" w:eastAsia="宋体" w:cs="宋体"/>
          <w:bCs/>
          <w:color w:val="000000" w:themeColor="text1"/>
          <w:szCs w:val="21"/>
          <w14:textFill>
            <w14:solidFill>
              <w14:schemeClr w14:val="tx1"/>
            </w14:solidFill>
          </w14:textFill>
        </w:rPr>
        <w:t>签订补充协议</w:t>
      </w:r>
      <w:r>
        <w:rPr>
          <w:rFonts w:hint="eastAsia" w:ascii="宋体" w:hAnsi="宋体" w:eastAsia="宋体" w:cs="宋体"/>
          <w:bCs/>
          <w:color w:val="000000" w:themeColor="text1"/>
          <w:szCs w:val="21"/>
          <w:lang w:eastAsia="zh-CN"/>
          <w14:textFill>
            <w14:solidFill>
              <w14:schemeClr w14:val="tx1"/>
            </w14:solidFill>
          </w14:textFill>
        </w:rPr>
        <w:t>。</w:t>
      </w:r>
      <w:bookmarkEnd w:id="20"/>
      <w:r>
        <w:rPr>
          <w:rFonts w:hint="eastAsia" w:ascii="宋体" w:hAnsi="宋体" w:eastAsia="宋体" w:cs="宋体"/>
          <w:bCs/>
          <w:color w:val="000000" w:themeColor="text1"/>
          <w:szCs w:val="21"/>
          <w14:textFill>
            <w14:solidFill>
              <w14:schemeClr w14:val="tx1"/>
            </w14:solidFill>
          </w14:textFill>
        </w:rPr>
        <w:t xml:space="preserve"> </w:t>
      </w:r>
    </w:p>
    <w:p w14:paraId="1C2E3FF6">
      <w:pPr>
        <w:pStyle w:val="24"/>
        <w:wordWrap w:val="0"/>
        <w:spacing w:before="0" w:after="0" w:line="300" w:lineRule="exact"/>
        <w:rPr>
          <w:rFonts w:ascii="宋体" w:hAnsi="宋体" w:cs="宋体"/>
          <w:color w:val="000000" w:themeColor="text1"/>
          <w:sz w:val="21"/>
          <w:szCs w:val="21"/>
          <w14:textFill>
            <w14:solidFill>
              <w14:schemeClr w14:val="tx1"/>
            </w14:solidFill>
          </w14:textFill>
        </w:rPr>
      </w:pPr>
      <w:bookmarkStart w:id="21" w:name="_Toc63471441"/>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十</w:t>
      </w:r>
      <w:r>
        <w:rPr>
          <w:rFonts w:hint="eastAsia" w:ascii="宋体" w:hAnsi="宋体" w:cs="宋体"/>
          <w:color w:val="000000" w:themeColor="text1"/>
          <w:sz w:val="21"/>
          <w:szCs w:val="21"/>
          <w:lang w:eastAsia="zh-CN"/>
          <w14:textFill>
            <w14:solidFill>
              <w14:schemeClr w14:val="tx1"/>
            </w14:solidFill>
          </w14:textFill>
        </w:rPr>
        <w:t>四</w:t>
      </w:r>
      <w:r>
        <w:rPr>
          <w:rFonts w:hint="eastAsia" w:ascii="宋体" w:hAnsi="宋体" w:cs="宋体"/>
          <w:color w:val="000000" w:themeColor="text1"/>
          <w:sz w:val="21"/>
          <w:szCs w:val="21"/>
          <w14:textFill>
            <w14:solidFill>
              <w14:schemeClr w14:val="tx1"/>
            </w14:solidFill>
          </w14:textFill>
        </w:rPr>
        <w:t>、合同生效</w:t>
      </w:r>
      <w:bookmarkEnd w:id="21"/>
    </w:p>
    <w:p w14:paraId="08B25F96">
      <w:pPr>
        <w:pStyle w:val="16"/>
        <w:wordWrap w:val="0"/>
        <w:spacing w:line="300" w:lineRule="exact"/>
        <w:ind w:firstLine="420" w:firstLineChars="200"/>
        <w:rPr>
          <w:rFonts w:ascii="宋体" w:hAnsi="宋体" w:eastAsia="宋体" w:cs="宋体"/>
          <w:bCs/>
          <w:color w:val="000000" w:themeColor="text1"/>
          <w:szCs w:val="21"/>
          <w14:textFill>
            <w14:solidFill>
              <w14:schemeClr w14:val="tx1"/>
            </w14:solidFill>
          </w14:textFill>
        </w:rPr>
      </w:pPr>
      <w:bookmarkStart w:id="22" w:name="auto_fouce_9"/>
      <w:r>
        <w:rPr>
          <w:rFonts w:hint="eastAsia" w:ascii="宋体" w:hAnsi="宋体" w:eastAsia="宋体" w:cs="宋体"/>
          <w:bCs/>
          <w:color w:val="000000" w:themeColor="text1"/>
          <w:szCs w:val="21"/>
          <w14:textFill>
            <w14:solidFill>
              <w14:schemeClr w14:val="tx1"/>
            </w14:solidFill>
          </w14:textFill>
        </w:rPr>
        <w:t>本合同自</w:t>
      </w:r>
      <w:r>
        <w:rPr>
          <w:rFonts w:hint="eastAsia" w:ascii="宋体" w:hAnsi="宋体" w:eastAsia="宋体" w:cs="宋体"/>
          <w:bCs/>
          <w:color w:val="000000" w:themeColor="text1"/>
          <w:szCs w:val="21"/>
          <w:u w:val="single"/>
          <w:lang w:eastAsia="zh-CN"/>
          <w14:textFill>
            <w14:solidFill>
              <w14:schemeClr w14:val="tx1"/>
            </w14:solidFill>
          </w14:textFill>
        </w:rPr>
        <w:t>双方法定代表人或授权代表签字并加盖公章后</w:t>
      </w:r>
      <w:r>
        <w:rPr>
          <w:rFonts w:hint="eastAsia" w:ascii="宋体" w:hAnsi="宋体" w:eastAsia="宋体" w:cs="宋体"/>
          <w:bCs/>
          <w:color w:val="000000" w:themeColor="text1"/>
          <w:szCs w:val="21"/>
          <w14:textFill>
            <w14:solidFill>
              <w14:schemeClr w14:val="tx1"/>
            </w14:solidFill>
          </w14:textFill>
        </w:rPr>
        <w:t>生效。</w:t>
      </w:r>
      <w:bookmarkEnd w:id="22"/>
    </w:p>
    <w:p w14:paraId="3EB3797E">
      <w:pPr>
        <w:pStyle w:val="24"/>
        <w:wordWrap w:val="0"/>
        <w:spacing w:before="0" w:after="0" w:line="300" w:lineRule="exact"/>
        <w:rPr>
          <w:rFonts w:ascii="宋体" w:hAnsi="宋体" w:cs="宋体"/>
          <w:color w:val="000000" w:themeColor="text1"/>
          <w:sz w:val="21"/>
          <w:szCs w:val="21"/>
          <w14:textFill>
            <w14:solidFill>
              <w14:schemeClr w14:val="tx1"/>
            </w14:solidFill>
          </w14:textFill>
        </w:rPr>
      </w:pPr>
      <w:bookmarkStart w:id="23" w:name="_Toc63471442"/>
      <w:r>
        <w:rPr>
          <w:rFonts w:hint="eastAsia" w:ascii="宋体" w:hAnsi="宋体" w:cs="宋体"/>
          <w:bCs w:val="0"/>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14:textFill>
            <w14:solidFill>
              <w14:schemeClr w14:val="tx1"/>
            </w14:solidFill>
          </w14:textFill>
        </w:rPr>
        <w:t>十</w:t>
      </w:r>
      <w:r>
        <w:rPr>
          <w:rFonts w:hint="eastAsia" w:ascii="宋体" w:hAnsi="宋体" w:cs="宋体"/>
          <w:color w:val="000000" w:themeColor="text1"/>
          <w:sz w:val="21"/>
          <w:szCs w:val="21"/>
          <w:lang w:eastAsia="zh-CN"/>
          <w14:textFill>
            <w14:solidFill>
              <w14:schemeClr w14:val="tx1"/>
            </w14:solidFill>
          </w14:textFill>
        </w:rPr>
        <w:t>五</w:t>
      </w:r>
      <w:r>
        <w:rPr>
          <w:rFonts w:hint="eastAsia" w:ascii="宋体" w:hAnsi="宋体" w:cs="宋体"/>
          <w:color w:val="000000" w:themeColor="text1"/>
          <w:sz w:val="21"/>
          <w:szCs w:val="21"/>
          <w14:textFill>
            <w14:solidFill>
              <w14:schemeClr w14:val="tx1"/>
            </w14:solidFill>
          </w14:textFill>
        </w:rPr>
        <w:t>、合同份数</w:t>
      </w:r>
      <w:bookmarkEnd w:id="23"/>
    </w:p>
    <w:p w14:paraId="288BA7C5">
      <w:pPr>
        <w:pStyle w:val="16"/>
        <w:wordWrap w:val="0"/>
        <w:spacing w:line="30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本合同一式</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u w:val="single"/>
          <w:lang w:eastAsia="zh-CN"/>
          <w14:textFill>
            <w14:solidFill>
              <w14:schemeClr w14:val="tx1"/>
            </w14:solidFill>
          </w14:textFill>
        </w:rPr>
        <w:t>捌</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份，均具有同等法律效力，发包人执</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u w:val="single"/>
          <w:lang w:eastAsia="zh-CN"/>
          <w14:textFill>
            <w14:solidFill>
              <w14:schemeClr w14:val="tx1"/>
            </w14:solidFill>
          </w14:textFill>
        </w:rPr>
        <w:t>肆</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份，承包人执</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u w:val="single"/>
          <w:lang w:eastAsia="zh-CN"/>
          <w14:textFill>
            <w14:solidFill>
              <w14:schemeClr w14:val="tx1"/>
            </w14:solidFill>
          </w14:textFill>
        </w:rPr>
        <w:t>肆</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bCs/>
          <w:color w:val="000000" w:themeColor="text1"/>
          <w:szCs w:val="21"/>
          <w14:textFill>
            <w14:solidFill>
              <w14:schemeClr w14:val="tx1"/>
            </w14:solidFill>
          </w14:textFill>
        </w:rPr>
        <w:t>份。</w:t>
      </w:r>
    </w:p>
    <w:p w14:paraId="6BD23328">
      <w:pPr>
        <w:pStyle w:val="16"/>
        <w:wordWrap w:val="0"/>
        <w:spacing w:line="300" w:lineRule="exact"/>
        <w:rPr>
          <w:rFonts w:hint="eastAsia" w:ascii="宋体" w:hAnsi="宋体" w:eastAsia="宋体" w:cs="宋体"/>
          <w:color w:val="000000" w:themeColor="text1"/>
          <w:szCs w:val="21"/>
          <w14:textFill>
            <w14:solidFill>
              <w14:schemeClr w14:val="tx1"/>
            </w14:solidFill>
          </w14:textFill>
        </w:rPr>
      </w:pPr>
    </w:p>
    <w:tbl>
      <w:tblPr>
        <w:tblStyle w:val="8"/>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8" w:type="dxa"/>
          <w:bottom w:w="0" w:type="dxa"/>
          <w:right w:w="108" w:type="dxa"/>
        </w:tblCellMar>
      </w:tblPr>
      <w:tblGrid>
        <w:gridCol w:w="4261"/>
        <w:gridCol w:w="4261"/>
      </w:tblGrid>
      <w:tr w14:paraId="21094A3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3590" w:hRule="atLeast"/>
          <w:jc w:val="center"/>
        </w:trPr>
        <w:tc>
          <w:tcPr>
            <w:tcW w:w="4261" w:type="dxa"/>
            <w:tcBorders>
              <w:tl2br w:val="nil"/>
              <w:tr2bl w:val="nil"/>
            </w:tcBorders>
            <w:noWrap w:val="0"/>
            <w:vAlign w:val="top"/>
          </w:tcPr>
          <w:p w14:paraId="0A3FC9EA">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发包人：龙岩市城市管理局(公章)                     </w:t>
            </w:r>
          </w:p>
          <w:p w14:paraId="1816E63F">
            <w:pPr>
              <w:spacing w:line="24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法定代表人或其委托代理人：</w:t>
            </w:r>
          </w:p>
          <w:p w14:paraId="07E57B60">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（签字或盖章）</w:t>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w:t>
            </w:r>
          </w:p>
          <w:p w14:paraId="419BB377">
            <w:pPr>
              <w:spacing w:line="240" w:lineRule="auto"/>
              <w:rPr>
                <w:rFonts w:hint="eastAsia" w:ascii="MingLiU_HKSCS" w:hAnsi="MingLiU_HKSCS" w:eastAsia="宋体" w:cs="MingLiU_HKSCS"/>
                <w:color w:val="000000" w:themeColor="text1"/>
                <w:szCs w:val="21"/>
                <w:u w:val="singl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组织机构代码：</w:t>
            </w:r>
            <w:r>
              <w:rPr>
                <w:rFonts w:hint="eastAsia" w:ascii="MingLiU_HKSCS" w:hAnsi="MingLiU_HKSCS" w:eastAsia="宋体" w:cs="MingLiU_HKSCS"/>
                <w:color w:val="000000" w:themeColor="text1"/>
                <w:szCs w:val="21"/>
                <w:u w:val="single"/>
                <w14:textFill>
                  <w14:solidFill>
                    <w14:schemeClr w14:val="tx1"/>
                  </w14:solidFill>
                </w14:textFill>
              </w:rPr>
              <w:t>113508005792867998</w:t>
            </w:r>
          </w:p>
          <w:p w14:paraId="2F050F61">
            <w:pPr>
              <w:spacing w:line="240" w:lineRule="auto"/>
              <w:rPr>
                <w:rFonts w:hint="eastAsia" w:ascii="MingLiU_HKSCS" w:hAnsi="MingLiU_HKSCS" w:eastAsia="宋体" w:cs="MingLiU_HKSCS"/>
                <w:color w:val="000000" w:themeColor="text1"/>
                <w:szCs w:val="21"/>
                <w:u w:val="singl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地  址：</w:t>
            </w:r>
            <w:r>
              <w:rPr>
                <w:rFonts w:hint="eastAsia" w:ascii="宋体" w:hAnsi="宋体" w:cs="宋体"/>
                <w:color w:val="000000" w:themeColor="text1"/>
                <w:szCs w:val="21"/>
                <w:u w:val="single"/>
                <w:lang w:eastAsia="zh-CN"/>
                <w14:textFill>
                  <w14:solidFill>
                    <w14:schemeClr w14:val="tx1"/>
                  </w14:solidFill>
                </w14:textFill>
              </w:rPr>
              <w:t>龙</w:t>
            </w:r>
            <w:r>
              <w:rPr>
                <w:rFonts w:hint="eastAsia" w:ascii="MingLiU_HKSCS" w:hAnsi="MingLiU_HKSCS" w:eastAsia="宋体" w:cs="MingLiU_HKSCS"/>
                <w:color w:val="000000" w:themeColor="text1"/>
                <w:szCs w:val="21"/>
                <w:u w:val="single"/>
                <w14:textFill>
                  <w14:solidFill>
                    <w14:schemeClr w14:val="tx1"/>
                  </w14:solidFill>
                </w14:textFill>
              </w:rPr>
              <w:t>岩市新罗区龙岩大道中33号</w:t>
            </w:r>
          </w:p>
          <w:p w14:paraId="08E558B7">
            <w:pPr>
              <w:spacing w:line="240" w:lineRule="auto"/>
              <w:rPr>
                <w:rFonts w:hint="eastAsia"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邮政编码：</w:t>
            </w:r>
            <w:r>
              <w:rPr>
                <w:rFonts w:hint="eastAsia" w:ascii="宋体" w:hAnsi="宋体" w:eastAsia="宋体" w:cs="宋体"/>
                <w:color w:val="000000" w:themeColor="text1"/>
                <w:szCs w:val="21"/>
                <w:u w:val="single"/>
                <w:lang w:val="en-US" w:eastAsia="zh-CN"/>
                <w14:textFill>
                  <w14:solidFill>
                    <w14:schemeClr w14:val="tx1"/>
                  </w14:solidFill>
                </w14:textFill>
              </w:rPr>
              <w:t>364000</w:t>
            </w:r>
          </w:p>
          <w:p w14:paraId="373AF153">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法定代表人：</w:t>
            </w:r>
            <w:r>
              <w:rPr>
                <w:rFonts w:hint="eastAsia" w:ascii="宋体" w:hAnsi="宋体" w:eastAsia="宋体" w:cs="宋体"/>
                <w:color w:val="000000" w:themeColor="text1"/>
                <w:szCs w:val="21"/>
                <w:u w:val="single"/>
                <w:lang w:eastAsia="zh-CN"/>
                <w14:textFill>
                  <w14:solidFill>
                    <w14:schemeClr w14:val="tx1"/>
                  </w14:solidFill>
                </w14:textFill>
              </w:rPr>
              <w:t>林福强</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w:t>
            </w:r>
          </w:p>
          <w:p w14:paraId="0DFA75E8">
            <w:pPr>
              <w:spacing w:line="240" w:lineRule="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委托代理人：</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w:t>
            </w:r>
          </w:p>
          <w:p w14:paraId="4AD3C8C3">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电话：</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0597-2258660</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p w14:paraId="6DC6DE73">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传真：</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0597-2258907</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p w14:paraId="018D5CA4">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电子信箱：</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lyszylk@163.com</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p w14:paraId="59D911B6">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开户银行：</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eastAsia="zh-CN"/>
                <w14:textFill>
                  <w14:solidFill>
                    <w14:schemeClr w14:val="tx1"/>
                  </w14:solidFill>
                </w14:textFill>
              </w:rPr>
              <w:t>兴业银行龙津支行</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w:t>
            </w:r>
          </w:p>
          <w:p w14:paraId="4F06C928">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账号：</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171050100100111673</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lang w:val="en-US" w:eastAsia="zh-CN"/>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tc>
        <w:tc>
          <w:tcPr>
            <w:tcW w:w="4261" w:type="dxa"/>
            <w:tcBorders>
              <w:tl2br w:val="nil"/>
              <w:tr2bl w:val="nil"/>
            </w:tcBorders>
            <w:noWrap w:val="0"/>
            <w:vAlign w:val="top"/>
          </w:tcPr>
          <w:p w14:paraId="74283F43">
            <w:pPr>
              <w:spacing w:line="24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承包人：</w:t>
            </w:r>
          </w:p>
          <w:p w14:paraId="3362196F">
            <w:pPr>
              <w:spacing w:line="240" w:lineRule="auto"/>
              <w:rPr>
                <w:rFonts w:hint="default"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法定代表人或其委托代理人：</w:t>
            </w:r>
            <w:r>
              <w:rPr>
                <w:rFonts w:hint="eastAsia" w:ascii="宋体" w:hAnsi="宋体" w:cs="宋体"/>
                <w:color w:val="000000" w:themeColor="text1"/>
                <w:szCs w:val="21"/>
                <w:u w:val="single"/>
                <w:lang w:val="en-US" w:eastAsia="zh-CN"/>
                <w14:textFill>
                  <w14:solidFill>
                    <w14:schemeClr w14:val="tx1"/>
                  </w14:solidFill>
                </w14:textFill>
              </w:rPr>
              <w:t xml:space="preserve">           </w:t>
            </w:r>
          </w:p>
          <w:p w14:paraId="09A997B7">
            <w:pPr>
              <w:spacing w:line="24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（签字或盖章）</w:t>
            </w:r>
          </w:p>
          <w:p w14:paraId="29BAA615">
            <w:pPr>
              <w:spacing w:line="240" w:lineRule="auto"/>
              <w:rPr>
                <w:rFonts w:hint="default"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组织机构代码：</w:t>
            </w:r>
            <w:r>
              <w:rPr>
                <w:rFonts w:hint="eastAsia" w:ascii="宋体" w:hAnsi="宋体" w:cs="宋体"/>
                <w:color w:val="000000" w:themeColor="text1"/>
                <w:szCs w:val="21"/>
                <w:u w:val="single"/>
                <w:lang w:val="en-US" w:eastAsia="zh-CN"/>
                <w14:textFill>
                  <w14:solidFill>
                    <w14:schemeClr w14:val="tx1"/>
                  </w14:solidFill>
                </w14:textFill>
              </w:rPr>
              <w:t xml:space="preserve">         </w:t>
            </w:r>
          </w:p>
          <w:p w14:paraId="15B1DF5D">
            <w:pPr>
              <w:spacing w:line="240" w:lineRule="auto"/>
              <w:rPr>
                <w:rFonts w:hint="default"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地  址：</w:t>
            </w:r>
            <w:r>
              <w:rPr>
                <w:rFonts w:hint="eastAsia" w:ascii="宋体" w:hAnsi="宋体" w:cs="宋体"/>
                <w:color w:val="000000" w:themeColor="text1"/>
                <w:szCs w:val="21"/>
                <w:u w:val="single"/>
                <w:lang w:val="en-US" w:eastAsia="zh-CN"/>
                <w14:textFill>
                  <w14:solidFill>
                    <w14:schemeClr w14:val="tx1"/>
                  </w14:solidFill>
                </w14:textFill>
              </w:rPr>
              <w:t xml:space="preserve">           </w:t>
            </w:r>
          </w:p>
          <w:p w14:paraId="7F9F29FF">
            <w:pPr>
              <w:spacing w:line="240" w:lineRule="auto"/>
              <w:rPr>
                <w:rFonts w:hint="default"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邮政编码：</w:t>
            </w:r>
            <w:r>
              <w:rPr>
                <w:rFonts w:hint="eastAsia" w:ascii="宋体" w:hAnsi="宋体" w:cs="宋体"/>
                <w:color w:val="000000" w:themeColor="text1"/>
                <w:szCs w:val="21"/>
                <w:u w:val="single"/>
                <w:lang w:val="en-US" w:eastAsia="zh-CN"/>
                <w14:textFill>
                  <w14:solidFill>
                    <w14:schemeClr w14:val="tx1"/>
                  </w14:solidFill>
                </w14:textFill>
              </w:rPr>
              <w:t xml:space="preserve">           </w:t>
            </w:r>
          </w:p>
          <w:p w14:paraId="4143569D">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法定代表人：</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w:t>
            </w:r>
          </w:p>
          <w:p w14:paraId="78E8F0F2">
            <w:pPr>
              <w:spacing w:line="240" w:lineRule="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委托代理人：</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w:t>
            </w:r>
          </w:p>
          <w:p w14:paraId="0D46B79C">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电话：</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p w14:paraId="632EAB78">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传真：</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p w14:paraId="3300E748">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电子信箱：</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p w14:paraId="1621A9AC">
            <w:pPr>
              <w:spacing w:line="24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开户银行：                                </w:t>
            </w:r>
          </w:p>
          <w:p w14:paraId="41F4C33B">
            <w:pPr>
              <w:spacing w:line="240" w:lineRule="auto"/>
              <w:rPr>
                <w:rFonts w:hint="eastAsia"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账号：</w:t>
            </w:r>
            <w:r>
              <w:rPr>
                <w:rFonts w:hint="eastAsia" w:ascii="MingLiU_HKSCS" w:hAnsi="MingLiU_HKSCS" w:eastAsia="宋体" w:cs="MingLiU_HKSCS"/>
                <w:color w:val="000000" w:themeColor="text1"/>
                <w:szCs w:val="21"/>
                <w:u w:val="single"/>
                <w:lang w:val="en-US" w:eastAsia="zh-CN"/>
                <w14:textFill>
                  <w14:solidFill>
                    <w14:schemeClr w14:val="tx1"/>
                  </w14:solidFill>
                </w14:textFill>
              </w:rPr>
              <w:t xml:space="preserve"> </w:t>
            </w:r>
            <w:r>
              <w:rPr>
                <w:rFonts w:hint="eastAsia" w:ascii="MingLiU_HKSCS" w:hAnsi="MingLiU_HKSCS"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p>
          <w:p w14:paraId="00D521FA">
            <w:pPr>
              <w:spacing w:line="240" w:lineRule="auto"/>
              <w:rPr>
                <w:rFonts w:hint="eastAsia" w:ascii="宋体" w:hAnsi="宋体" w:eastAsia="宋体" w:cs="宋体"/>
                <w:color w:val="000000" w:themeColor="text1"/>
                <w:szCs w:val="21"/>
                <w:u w:val="single"/>
                <w:lang w:val="en-US" w:eastAsia="zh-CN"/>
                <w14:textFill>
                  <w14:solidFill>
                    <w14:schemeClr w14:val="tx1"/>
                  </w14:solidFill>
                </w14:textFill>
              </w:rPr>
            </w:pPr>
          </w:p>
          <w:p w14:paraId="20786117">
            <w:pPr>
              <w:spacing w:line="240" w:lineRule="auto"/>
              <w:rPr>
                <w:rFonts w:hint="eastAsia" w:ascii="宋体" w:hAnsi="宋体" w:eastAsia="宋体" w:cs="宋体"/>
                <w:color w:val="000000" w:themeColor="text1"/>
                <w:szCs w:val="21"/>
                <w:u w:val="single"/>
                <w:lang w:val="en-US" w:eastAsia="zh-CN"/>
                <w14:textFill>
                  <w14:solidFill>
                    <w14:schemeClr w14:val="tx1"/>
                  </w14:solidFill>
                </w14:textFill>
              </w:rPr>
            </w:pPr>
          </w:p>
        </w:tc>
      </w:tr>
      <w:tr w14:paraId="308338F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3590" w:hRule="atLeast"/>
          <w:jc w:val="center"/>
        </w:trPr>
        <w:tc>
          <w:tcPr>
            <w:tcW w:w="4261" w:type="dxa"/>
            <w:tcBorders>
              <w:tl2br w:val="nil"/>
              <w:tr2bl w:val="nil"/>
            </w:tcBorders>
            <w:noWrap w:val="0"/>
            <w:vAlign w:val="top"/>
          </w:tcPr>
          <w:p w14:paraId="757F2651">
            <w:pPr>
              <w:spacing w:line="240" w:lineRule="auto"/>
              <w:rPr>
                <w:rFonts w:hint="eastAsia" w:ascii="宋体" w:hAnsi="宋体" w:eastAsia="宋体" w:cs="宋体"/>
                <w:color w:val="000000" w:themeColor="text1"/>
                <w:kern w:val="2"/>
                <w:sz w:val="21"/>
                <w:szCs w:val="21"/>
                <w:lang w:val="en-US" w:eastAsia="zh-CN" w:bidi="ar-SA"/>
                <w14:textFill>
                  <w14:solidFill>
                    <w14:schemeClr w14:val="tx1"/>
                  </w14:solidFill>
                </w14:textFill>
              </w:rPr>
            </w:pPr>
            <w:bookmarkStart w:id="24" w:name="_Toc13309381"/>
            <w:bookmarkStart w:id="25" w:name="_Toc215480812"/>
            <w:bookmarkStart w:id="26" w:name="_Toc256000018"/>
            <w:bookmarkStart w:id="27" w:name="_Toc448757592"/>
          </w:p>
        </w:tc>
        <w:tc>
          <w:tcPr>
            <w:tcW w:w="4261" w:type="dxa"/>
            <w:tcBorders>
              <w:tl2br w:val="nil"/>
              <w:tr2bl w:val="nil"/>
            </w:tcBorders>
            <w:shd w:val="clear" w:color="auto" w:fill="auto"/>
            <w:noWrap w:val="0"/>
            <w:vAlign w:val="top"/>
          </w:tcPr>
          <w:p w14:paraId="30A8FAB2">
            <w:pPr>
              <w:spacing w:line="240" w:lineRule="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bookmarkEnd w:id="0"/>
    </w:tbl>
    <w:p w14:paraId="1A81F42D">
      <w:pPr>
        <w:pStyle w:val="19"/>
        <w:wordWrap w:val="0"/>
        <w:adjustRightInd w:val="0"/>
        <w:spacing w:before="360"/>
        <w:jc w:val="center"/>
        <w:textAlignment w:val="baseline"/>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第2节通用合同条款</w:t>
      </w:r>
    </w:p>
    <w:p w14:paraId="3FD73542">
      <w:pPr>
        <w:pStyle w:val="19"/>
        <w:wordWrap w:val="0"/>
        <w:adjustRightInd w:val="0"/>
        <w:spacing w:before="360"/>
        <w:jc w:val="center"/>
        <w:textAlignment w:val="baseline"/>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通用合同条款内容详见《通用本》</w:t>
      </w:r>
      <w:bookmarkEnd w:id="24"/>
      <w:bookmarkEnd w:id="25"/>
      <w:bookmarkEnd w:id="26"/>
      <w:bookmarkEnd w:id="27"/>
    </w:p>
    <w:p w14:paraId="61F16028">
      <w:pPr>
        <w:pStyle w:val="19"/>
        <w:wordWrap w:val="0"/>
        <w:adjustRightInd w:val="0"/>
        <w:spacing w:before="360"/>
        <w:ind w:firstLine="482" w:firstLineChars="200"/>
        <w:jc w:val="left"/>
        <w:textAlignment w:val="baseline"/>
        <w:rPr>
          <w:rFonts w:hint="eastAsia" w:ascii="宋体" w:hAnsi="宋体" w:eastAsia="宋体" w:cs="宋体"/>
          <w:b/>
          <w:bCs/>
          <w:color w:val="000000" w:themeColor="text1"/>
          <w14:textFill>
            <w14:solidFill>
              <w14:schemeClr w14:val="tx1"/>
            </w14:solidFill>
          </w14:textFill>
        </w:rPr>
      </w:pPr>
      <w:bookmarkStart w:id="28" w:name="_Toc433901089"/>
      <w:bookmarkStart w:id="29" w:name="_Toc256000020"/>
      <w:bookmarkStart w:id="30" w:name="_Toc13309383"/>
      <w:bookmarkStart w:id="31" w:name="_Toc448757594"/>
      <w:r>
        <w:rPr>
          <w:rFonts w:hint="eastAsia" w:ascii="宋体" w:hAnsi="宋体" w:eastAsia="宋体" w:cs="宋体"/>
          <w:b/>
          <w:bCs/>
          <w:color w:val="000000" w:themeColor="text1"/>
          <w:sz w:val="24"/>
          <w:szCs w:val="24"/>
          <w14:textFill>
            <w14:solidFill>
              <w14:schemeClr w14:val="tx1"/>
            </w14:solidFill>
          </w14:textFill>
        </w:rPr>
        <w:t>本合同的通用合同条款采用住建部和国家工商行政管理总局制定颁发的《建设工程施工合同（示范文本）》（GF-2017-0201）中第二部分“通用条件”。</w:t>
      </w:r>
    </w:p>
    <w:p w14:paraId="0F5A94F6">
      <w:pPr>
        <w:pStyle w:val="19"/>
        <w:tabs>
          <w:tab w:val="left" w:pos="0"/>
        </w:tabs>
        <w:wordWrap w:val="0"/>
        <w:spacing w:before="1440" w:after="120" w:line="360" w:lineRule="auto"/>
        <w:rPr>
          <w:color w:val="000000" w:themeColor="text1"/>
          <w14:textFill>
            <w14:solidFill>
              <w14:schemeClr w14:val="tx1"/>
            </w14:solidFill>
          </w14:textFill>
        </w:rPr>
      </w:pPr>
    </w:p>
    <w:p w14:paraId="144A1FD2">
      <w:pPr>
        <w:pStyle w:val="19"/>
        <w:tabs>
          <w:tab w:val="left" w:pos="0"/>
        </w:tabs>
        <w:wordWrap w:val="0"/>
        <w:spacing w:before="1440" w:after="120" w:line="360" w:lineRule="auto"/>
        <w:jc w:val="center"/>
        <w:rPr>
          <w:rFonts w:ascii="宋体" w:hAnsi="宋体" w:eastAsia="宋体" w:cs="宋体"/>
          <w:color w:val="000000" w:themeColor="text1"/>
          <w14:textFill>
            <w14:solidFill>
              <w14:schemeClr w14:val="tx1"/>
            </w14:solidFill>
          </w14:textFill>
        </w:rPr>
      </w:pPr>
    </w:p>
    <w:p w14:paraId="121E218F">
      <w:pPr>
        <w:pStyle w:val="19"/>
        <w:tabs>
          <w:tab w:val="left" w:pos="0"/>
        </w:tabs>
        <w:wordWrap w:val="0"/>
        <w:spacing w:before="1440" w:after="120" w:line="360" w:lineRule="auto"/>
        <w:jc w:val="center"/>
        <w:rPr>
          <w:rFonts w:ascii="宋体" w:hAnsi="宋体" w:eastAsia="宋体" w:cs="宋体"/>
          <w:color w:val="000000" w:themeColor="text1"/>
          <w14:textFill>
            <w14:solidFill>
              <w14:schemeClr w14:val="tx1"/>
            </w14:solidFill>
          </w14:textFill>
        </w:rPr>
      </w:pPr>
    </w:p>
    <w:p w14:paraId="515C0AC7">
      <w:pPr>
        <w:pStyle w:val="19"/>
        <w:tabs>
          <w:tab w:val="left" w:pos="0"/>
        </w:tabs>
        <w:wordWrap w:val="0"/>
        <w:spacing w:before="1440" w:after="120" w:line="360" w:lineRule="auto"/>
        <w:jc w:val="center"/>
        <w:rPr>
          <w:rFonts w:ascii="宋体" w:hAnsi="宋体" w:eastAsia="宋体" w:cs="宋体"/>
          <w:color w:val="000000" w:themeColor="text1"/>
          <w14:textFill>
            <w14:solidFill>
              <w14:schemeClr w14:val="tx1"/>
            </w14:solidFill>
          </w14:textFill>
        </w:rPr>
      </w:pPr>
    </w:p>
    <w:p w14:paraId="52688A22">
      <w:pPr>
        <w:pStyle w:val="19"/>
        <w:tabs>
          <w:tab w:val="left" w:pos="0"/>
        </w:tabs>
        <w:wordWrap w:val="0"/>
        <w:spacing w:before="1440" w:after="120" w:line="360" w:lineRule="auto"/>
        <w:jc w:val="both"/>
        <w:rPr>
          <w:rFonts w:hint="eastAsia" w:ascii="宋体" w:hAnsi="宋体" w:eastAsia="宋体" w:cs="宋体"/>
          <w:color w:val="000000" w:themeColor="text1"/>
          <w14:textFill>
            <w14:solidFill>
              <w14:schemeClr w14:val="tx1"/>
            </w14:solidFill>
          </w14:textFill>
        </w:rPr>
      </w:pPr>
    </w:p>
    <w:p w14:paraId="5605ACCD">
      <w:pPr>
        <w:pStyle w:val="19"/>
        <w:tabs>
          <w:tab w:val="left" w:pos="0"/>
        </w:tabs>
        <w:wordWrap w:val="0"/>
        <w:spacing w:before="1440" w:after="120" w:line="360" w:lineRule="auto"/>
        <w:jc w:val="center"/>
        <w:rPr>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第3节专用合同条款</w:t>
      </w:r>
    </w:p>
    <w:p w14:paraId="133312FB">
      <w:pPr>
        <w:pStyle w:val="16"/>
        <w:ind w:firstLine="3514" w:firstLineChars="1255"/>
        <w:jc w:val="both"/>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专用合同条款</w:t>
      </w:r>
    </w:p>
    <w:p w14:paraId="708C2A2C">
      <w:pPr>
        <w:pStyle w:val="16"/>
        <w:rPr>
          <w:color w:val="000000" w:themeColor="text1"/>
          <w14:textFill>
            <w14:solidFill>
              <w14:schemeClr w14:val="tx1"/>
            </w14:solidFill>
          </w14:textFill>
        </w:rPr>
      </w:pPr>
    </w:p>
    <w:p w14:paraId="76824F7D">
      <w:pPr>
        <w:pStyle w:val="16"/>
        <w:tabs>
          <w:tab w:val="left" w:pos="0"/>
          <w:tab w:val="left" w:pos="851"/>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一、合同专用条款</w:t>
      </w:r>
    </w:p>
    <w:p w14:paraId="7AF8D342">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合同专用条款是结合本项目实际情况制订，是对第四章第2节合同通用条款细目的补充说明，二者若有矛盾，以本项目专用条款为准。</w:t>
      </w:r>
    </w:p>
    <w:p w14:paraId="07EE33EF">
      <w:pPr>
        <w:pStyle w:val="16"/>
        <w:tabs>
          <w:tab w:val="left" w:pos="0"/>
          <w:tab w:val="left" w:pos="851"/>
        </w:tabs>
        <w:spacing w:line="440" w:lineRule="exact"/>
        <w:ind w:left="426"/>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二、合同文件及解释顺序</w:t>
      </w:r>
    </w:p>
    <w:p w14:paraId="27A727C2">
      <w:pPr>
        <w:pStyle w:val="16"/>
        <w:tabs>
          <w:tab w:val="left" w:pos="0"/>
          <w:tab w:val="left" w:pos="851"/>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合同文件组成及解释顺序：按照第一节协议书第六条的顺序。</w:t>
      </w:r>
    </w:p>
    <w:p w14:paraId="5FCCF127">
      <w:pPr>
        <w:pStyle w:val="16"/>
        <w:widowControl/>
        <w:wordWrap w:val="0"/>
        <w:spacing w:line="440" w:lineRule="exact"/>
        <w:ind w:firstLine="424" w:firstLineChars="202"/>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w:t>
      </w:r>
      <w:r>
        <w:rPr>
          <w:rFonts w:hint="eastAsia" w:ascii="宋体" w:hAnsi="宋体" w:eastAsia="宋体" w:cs="宋体"/>
          <w:bCs/>
          <w:color w:val="000000" w:themeColor="text1"/>
          <w:szCs w:val="21"/>
          <w14:textFill>
            <w14:solidFill>
              <w14:schemeClr w14:val="tx1"/>
            </w14:solidFill>
          </w14:textFill>
        </w:rPr>
        <w:t>承包约定</w:t>
      </w:r>
    </w:p>
    <w:p w14:paraId="36D080C7">
      <w:pPr>
        <w:pStyle w:val="26"/>
        <w:spacing w:line="360" w:lineRule="auto"/>
        <w:ind w:firstLine="420" w:firstLineChars="2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1、本项目不得</w:t>
      </w:r>
      <w:r>
        <w:rPr>
          <w:rFonts w:hint="eastAsia" w:ascii="宋体" w:hAnsi="宋体" w:cs="宋体"/>
          <w:bCs/>
          <w:color w:val="000000" w:themeColor="text1"/>
          <w:szCs w:val="21"/>
          <w:lang w:eastAsia="zh-CN"/>
          <w14:textFill>
            <w14:solidFill>
              <w14:schemeClr w14:val="tx1"/>
            </w14:solidFill>
          </w14:textFill>
        </w:rPr>
        <w:t>违法</w:t>
      </w:r>
      <w:r>
        <w:rPr>
          <w:rFonts w:hint="eastAsia" w:ascii="宋体" w:hAnsi="宋体" w:cs="宋体"/>
          <w:bCs/>
          <w:color w:val="000000" w:themeColor="text1"/>
          <w:szCs w:val="21"/>
          <w14:textFill>
            <w14:solidFill>
              <w14:schemeClr w14:val="tx1"/>
            </w14:solidFill>
          </w14:textFill>
        </w:rPr>
        <w:t>分包或转包，若发包人发现</w:t>
      </w:r>
      <w:r>
        <w:rPr>
          <w:rFonts w:hint="eastAsia" w:ascii="宋体" w:hAnsi="宋体" w:cs="宋体"/>
          <w:bCs/>
          <w:color w:val="000000" w:themeColor="text1"/>
          <w:szCs w:val="21"/>
          <w:lang w:eastAsia="zh-CN"/>
          <w14:textFill>
            <w14:solidFill>
              <w14:schemeClr w14:val="tx1"/>
            </w14:solidFill>
          </w14:textFill>
        </w:rPr>
        <w:t>违法</w:t>
      </w:r>
      <w:r>
        <w:rPr>
          <w:rFonts w:hint="eastAsia" w:ascii="宋体" w:hAnsi="宋体" w:cs="宋体"/>
          <w:bCs/>
          <w:color w:val="000000" w:themeColor="text1"/>
          <w:szCs w:val="21"/>
          <w14:textFill>
            <w14:solidFill>
              <w14:schemeClr w14:val="tx1"/>
            </w14:solidFill>
          </w14:textFill>
        </w:rPr>
        <w:t>分包或转包情况，</w:t>
      </w:r>
      <w:r>
        <w:rPr>
          <w:rFonts w:hint="eastAsia" w:ascii="宋体" w:hAnsi="宋体" w:cs="宋体"/>
          <w:bCs/>
          <w:color w:val="000000" w:themeColor="text1"/>
          <w:szCs w:val="21"/>
          <w:lang w:eastAsia="zh-CN"/>
          <w14:textFill>
            <w14:solidFill>
              <w14:schemeClr w14:val="tx1"/>
            </w14:solidFill>
          </w14:textFill>
        </w:rPr>
        <w:t>发包人有权单方终止合同，并</w:t>
      </w:r>
      <w:r>
        <w:rPr>
          <w:rFonts w:hint="eastAsia" w:ascii="宋体" w:hAnsi="宋体" w:cs="宋体"/>
          <w:color w:val="000000" w:themeColor="text1"/>
          <w:szCs w:val="21"/>
          <w14:textFill>
            <w14:solidFill>
              <w14:schemeClr w14:val="tx1"/>
            </w14:solidFill>
          </w14:textFill>
        </w:rPr>
        <w:t>处以人民币10万元违约金</w:t>
      </w:r>
      <w:r>
        <w:rPr>
          <w:rFonts w:hint="eastAsia" w:ascii="宋体" w:hAnsi="宋体" w:cs="宋体"/>
          <w:color w:val="000000" w:themeColor="text1"/>
          <w:szCs w:val="21"/>
          <w:lang w:eastAsia="zh-CN"/>
          <w14:textFill>
            <w14:solidFill>
              <w14:schemeClr w14:val="tx1"/>
            </w14:solidFill>
          </w14:textFill>
        </w:rPr>
        <w:t>及承担相关法律责任</w:t>
      </w:r>
      <w:r>
        <w:rPr>
          <w:rFonts w:hint="eastAsia" w:ascii="宋体" w:hAnsi="宋体" w:cs="宋体"/>
          <w:color w:val="000000" w:themeColor="text1"/>
          <w:szCs w:val="21"/>
          <w14:textFill>
            <w14:solidFill>
              <w14:schemeClr w14:val="tx1"/>
            </w14:solidFill>
          </w14:textFill>
        </w:rPr>
        <w:t>。</w:t>
      </w:r>
    </w:p>
    <w:p w14:paraId="7A20273B">
      <w:pPr>
        <w:pStyle w:val="16"/>
        <w:widowControl/>
        <w:wordWrap w:val="0"/>
        <w:spacing w:line="440" w:lineRule="exact"/>
        <w:ind w:firstLine="424" w:firstLineChars="202"/>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2、承包人应按发包人下达的日常维修、养护计划进行施工，应按投标时承诺的施工机械设备</w:t>
      </w:r>
      <w:r>
        <w:rPr>
          <w:rFonts w:hint="eastAsia" w:ascii="宋体" w:hAnsi="宋体" w:eastAsia="宋体" w:cs="宋体"/>
          <w:bCs/>
          <w:color w:val="000000" w:themeColor="text1"/>
          <w:szCs w:val="21"/>
          <w:lang w:val="en-US" w:eastAsia="zh-CN"/>
          <w14:textFill>
            <w14:solidFill>
              <w14:schemeClr w14:val="tx1"/>
            </w14:solidFill>
          </w14:textFill>
        </w:rPr>
        <w:t>物资</w:t>
      </w:r>
      <w:r>
        <w:rPr>
          <w:rFonts w:hint="eastAsia" w:ascii="宋体" w:hAnsi="宋体" w:eastAsia="宋体" w:cs="宋体"/>
          <w:bCs/>
          <w:color w:val="000000" w:themeColor="text1"/>
          <w:szCs w:val="21"/>
          <w14:textFill>
            <w14:solidFill>
              <w14:schemeClr w14:val="tx1"/>
            </w14:solidFill>
          </w14:textFill>
        </w:rPr>
        <w:t>和人员按时到场，若在维修养护中，承包人的机械设备</w:t>
      </w:r>
      <w:r>
        <w:rPr>
          <w:rFonts w:hint="eastAsia" w:ascii="宋体" w:hAnsi="宋体" w:eastAsia="宋体" w:cs="宋体"/>
          <w:bCs/>
          <w:color w:val="000000" w:themeColor="text1"/>
          <w:szCs w:val="21"/>
          <w:lang w:eastAsia="zh-CN"/>
          <w14:textFill>
            <w14:solidFill>
              <w14:schemeClr w14:val="tx1"/>
            </w14:solidFill>
          </w14:textFill>
        </w:rPr>
        <w:t>或</w:t>
      </w:r>
      <w:r>
        <w:rPr>
          <w:rFonts w:hint="eastAsia" w:ascii="宋体" w:hAnsi="宋体" w:eastAsia="宋体" w:cs="宋体"/>
          <w:bCs/>
          <w:color w:val="000000" w:themeColor="text1"/>
          <w:szCs w:val="21"/>
          <w:lang w:val="en-US" w:eastAsia="zh-CN"/>
          <w14:textFill>
            <w14:solidFill>
              <w14:schemeClr w14:val="tx1"/>
            </w14:solidFill>
          </w14:textFill>
        </w:rPr>
        <w:t>物资或</w:t>
      </w:r>
      <w:r>
        <w:rPr>
          <w:rFonts w:hint="eastAsia" w:ascii="宋体" w:hAnsi="宋体" w:eastAsia="宋体" w:cs="宋体"/>
          <w:bCs/>
          <w:color w:val="000000" w:themeColor="text1"/>
          <w:szCs w:val="21"/>
          <w14:textFill>
            <w14:solidFill>
              <w14:schemeClr w14:val="tx1"/>
            </w14:solidFill>
          </w14:textFill>
        </w:rPr>
        <w:t>人员没有按发包人要求按时（按发包人出具书面通知的时间为准）到位的，经发包人第一次书面通知不执行的处以人民币1000元的违约金，第二次书面通知不执行的处以人民币10000元的违约金，第三次书面通知仍不执行的，发包人有权单方面终止合同，由此造成的一切责任及损失均由承包人负责承担。</w:t>
      </w:r>
    </w:p>
    <w:p w14:paraId="365F62FC">
      <w:pPr>
        <w:pStyle w:val="26"/>
        <w:spacing w:line="360" w:lineRule="auto"/>
        <w:ind w:firstLine="420" w:firstLineChars="2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承包人擅自更换项目负责人或项目技术负责人的违约责任：承包人擅自更换项目负责人或项目技术负责人的，每人每次处以违约金人民币10万元。除不可抗力外，承包人确需更换项目负责人或项目技术负责人的，经发包人同意后可以进行更换，且每人每次处以违约金人民币5万元。</w:t>
      </w:r>
      <w:r>
        <w:rPr>
          <w:rFonts w:hint="eastAsia" w:ascii="宋体" w:hAnsi="宋体" w:cs="宋体"/>
          <w:color w:val="000000" w:themeColor="text1"/>
          <w:szCs w:val="21"/>
          <w14:textFill>
            <w14:solidFill>
              <w14:schemeClr w14:val="tx1"/>
            </w14:solidFill>
          </w14:textFill>
        </w:rPr>
        <w:t>接替人员的水平、能力不得低于被替换人员。</w:t>
      </w:r>
    </w:p>
    <w:p w14:paraId="50D5B1F7">
      <w:pPr>
        <w:pStyle w:val="16"/>
        <w:widowControl/>
        <w:wordWrap w:val="0"/>
        <w:spacing w:line="440" w:lineRule="exact"/>
        <w:ind w:firstLine="424" w:firstLineChars="202"/>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4、违约金支付：上述违约金从当季工程款中直接扣除。</w:t>
      </w:r>
    </w:p>
    <w:p w14:paraId="1A99C7FE">
      <w:pPr>
        <w:pStyle w:val="16"/>
        <w:widowControl/>
        <w:wordWrap w:val="0"/>
        <w:spacing w:line="440" w:lineRule="exact"/>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四、承包要求</w:t>
      </w:r>
    </w:p>
    <w:p w14:paraId="4C8A8B3B">
      <w:pPr>
        <w:pStyle w:val="16"/>
        <w:numPr>
          <w:ilvl w:val="0"/>
          <w:numId w:val="2"/>
        </w:numPr>
        <w:tabs>
          <w:tab w:val="left" w:pos="0"/>
          <w:tab w:val="left" w:pos="709"/>
        </w:tabs>
        <w:spacing w:line="440" w:lineRule="exact"/>
        <w:ind w:left="-6" w:firstLine="426"/>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养护作业人员上岗前必须进行安全教育和技术培训。进入养护作业现场必须穿印制有“市政维护”字样统一式样的制服，戴安全帽，并根据实际情况需要穿反光背心、高温鞋等安全防护用品。承包人配备巡查、作业车辆需按发包人要求在车身适当位置喷涂“市政维护”字样。</w:t>
      </w:r>
    </w:p>
    <w:p w14:paraId="01026BDA">
      <w:pPr>
        <w:pStyle w:val="16"/>
        <w:numPr>
          <w:ilvl w:val="0"/>
          <w:numId w:val="2"/>
        </w:numPr>
        <w:tabs>
          <w:tab w:val="left" w:pos="0"/>
          <w:tab w:val="left" w:pos="709"/>
        </w:tabs>
        <w:spacing w:line="440" w:lineRule="exact"/>
        <w:ind w:left="-6" w:firstLine="426"/>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承包人应加强市政设施的巡查，发现问题及时反馈与处理。雨水井盖（箅）、水沟盖板等破损、遗失，应在接到通知1小时内做好安全警示标志，24小时内修复。</w:t>
      </w:r>
    </w:p>
    <w:p w14:paraId="3E903A65">
      <w:pPr>
        <w:pStyle w:val="16"/>
        <w:numPr>
          <w:ilvl w:val="0"/>
          <w:numId w:val="2"/>
        </w:numPr>
        <w:tabs>
          <w:tab w:val="left" w:pos="0"/>
          <w:tab w:val="left" w:pos="709"/>
        </w:tabs>
        <w:spacing w:line="440" w:lineRule="exact"/>
        <w:ind w:left="-6" w:firstLine="426"/>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承包人应按时完成e龙岩、数字城管</w:t>
      </w:r>
      <w:r>
        <w:rPr>
          <w:rFonts w:hint="eastAsia" w:ascii="宋体" w:hAnsi="宋体" w:eastAsia="宋体" w:cs="宋体"/>
          <w:color w:val="000000" w:themeColor="text1"/>
          <w:szCs w:val="21"/>
          <w:lang w:eastAsia="zh-CN"/>
          <w14:textFill>
            <w14:solidFill>
              <w14:schemeClr w14:val="tx1"/>
            </w14:solidFill>
          </w14:textFill>
        </w:rPr>
        <w:t>、运管服平台</w:t>
      </w:r>
      <w:r>
        <w:rPr>
          <w:rFonts w:hint="eastAsia" w:ascii="宋体" w:hAnsi="宋体" w:eastAsia="宋体" w:cs="宋体"/>
          <w:color w:val="000000" w:themeColor="text1"/>
          <w:szCs w:val="21"/>
          <w14:textFill>
            <w14:solidFill>
              <w14:schemeClr w14:val="tx1"/>
            </w14:solidFill>
          </w14:textFill>
        </w:rPr>
        <w:t>的案件，以及突发事故、紧急抢险、防洪防涝、救灾等各项工作，确保维护作业人员、材料物</w:t>
      </w:r>
      <w:r>
        <w:rPr>
          <w:rFonts w:hint="eastAsia" w:ascii="宋体" w:hAnsi="宋体" w:eastAsia="宋体" w:cs="宋体"/>
          <w:color w:val="000000" w:themeColor="text1"/>
          <w:szCs w:val="21"/>
          <w:lang w:eastAsia="zh-CN"/>
          <w14:textFill>
            <w14:solidFill>
              <w14:schemeClr w14:val="tx1"/>
            </w14:solidFill>
          </w14:textFill>
        </w:rPr>
        <w:t>资</w:t>
      </w:r>
      <w:r>
        <w:rPr>
          <w:rFonts w:hint="eastAsia" w:ascii="宋体" w:hAnsi="宋体" w:eastAsia="宋体" w:cs="宋体"/>
          <w:color w:val="000000" w:themeColor="text1"/>
          <w:szCs w:val="21"/>
          <w14:textFill>
            <w14:solidFill>
              <w14:schemeClr w14:val="tx1"/>
            </w14:solidFill>
          </w14:textFill>
        </w:rPr>
        <w:t>、机械设备及时到位并服从指挥，承包人未按发包人要求（市政府周边2km范围内不超过15分钟、市区内其余区域不超过30分钟）赶到现场参与抢险救灾、处理突发事故的，</w:t>
      </w:r>
      <w:r>
        <w:rPr>
          <w:rFonts w:hint="eastAsia" w:ascii="宋体" w:hAnsi="宋体" w:eastAsia="宋体" w:cs="宋体"/>
          <w:color w:val="000000" w:themeColor="text1"/>
          <w:szCs w:val="21"/>
          <w:lang w:eastAsia="zh-CN"/>
          <w14:textFill>
            <w14:solidFill>
              <w14:schemeClr w14:val="tx1"/>
            </w14:solidFill>
          </w14:textFill>
        </w:rPr>
        <w:t>每</w:t>
      </w:r>
      <w:r>
        <w:rPr>
          <w:rFonts w:hint="eastAsia" w:ascii="宋体" w:hAnsi="宋体" w:eastAsia="宋体" w:cs="宋体"/>
          <w:color w:val="000000" w:themeColor="text1"/>
          <w:szCs w:val="21"/>
          <w14:textFill>
            <w14:solidFill>
              <w14:schemeClr w14:val="tx1"/>
            </w14:solidFill>
          </w14:textFill>
        </w:rPr>
        <w:t>次处</w:t>
      </w:r>
      <w:r>
        <w:rPr>
          <w:rFonts w:hint="eastAsia" w:ascii="宋体" w:hAnsi="宋体" w:eastAsia="宋体" w:cs="宋体"/>
          <w:color w:val="000000" w:themeColor="text1"/>
          <w:szCs w:val="21"/>
          <w:lang w:eastAsia="zh-CN"/>
          <w14:textFill>
            <w14:solidFill>
              <w14:schemeClr w14:val="tx1"/>
            </w14:solidFill>
          </w14:textFill>
        </w:rPr>
        <w:t>以</w:t>
      </w:r>
      <w:r>
        <w:rPr>
          <w:rFonts w:hint="eastAsia" w:ascii="宋体" w:hAnsi="宋体" w:eastAsia="宋体" w:cs="宋体"/>
          <w:color w:val="000000" w:themeColor="text1"/>
          <w:szCs w:val="21"/>
          <w14:textFill>
            <w14:solidFill>
              <w14:schemeClr w14:val="tx1"/>
            </w14:solidFill>
          </w14:textFill>
        </w:rPr>
        <w:t>人民币2000元违约金</w:t>
      </w:r>
      <w:r>
        <w:rPr>
          <w:rFonts w:hint="eastAsia" w:ascii="宋体" w:hAnsi="宋体" w:eastAsia="宋体" w:cs="宋体"/>
          <w:color w:val="000000" w:themeColor="text1"/>
          <w:szCs w:val="21"/>
          <w:lang w:eastAsia="zh-CN"/>
          <w14:textFill>
            <w14:solidFill>
              <w14:schemeClr w14:val="tx1"/>
            </w14:solidFill>
          </w14:textFill>
        </w:rPr>
        <w:t>。</w:t>
      </w:r>
    </w:p>
    <w:p w14:paraId="0539E8D9">
      <w:pPr>
        <w:pStyle w:val="16"/>
        <w:numPr>
          <w:ilvl w:val="0"/>
          <w:numId w:val="2"/>
        </w:numPr>
        <w:tabs>
          <w:tab w:val="left" w:pos="0"/>
          <w:tab w:val="left" w:pos="709"/>
        </w:tabs>
        <w:spacing w:line="440" w:lineRule="exact"/>
        <w:ind w:left="-6" w:firstLine="426"/>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承包人应确保维护维修工程质量，对损坏市政设施应原质原样或</w:t>
      </w:r>
      <w:r>
        <w:rPr>
          <w:rFonts w:hint="eastAsia" w:ascii="宋体" w:hAnsi="宋体" w:eastAsia="宋体" w:cs="宋体"/>
          <w:iCs/>
          <w:color w:val="000000" w:themeColor="text1"/>
          <w:szCs w:val="21"/>
          <w14:textFill>
            <w14:solidFill>
              <w14:schemeClr w14:val="tx1"/>
            </w14:solidFill>
          </w14:textFill>
        </w:rPr>
        <w:t>按发包人要求使用经国家认证的合格产品修复</w:t>
      </w:r>
      <w:r>
        <w:rPr>
          <w:rFonts w:hint="eastAsia" w:ascii="宋体" w:hAnsi="宋体" w:eastAsia="宋体" w:cs="宋体"/>
          <w:color w:val="000000" w:themeColor="text1"/>
          <w:szCs w:val="21"/>
          <w14:textFill>
            <w14:solidFill>
              <w14:schemeClr w14:val="tx1"/>
            </w14:solidFill>
          </w14:textFill>
        </w:rPr>
        <w:t>，不得以次充好，修复后应保修半年以上。</w:t>
      </w:r>
    </w:p>
    <w:p w14:paraId="33CAE33E">
      <w:pPr>
        <w:pStyle w:val="16"/>
        <w:numPr>
          <w:ilvl w:val="0"/>
          <w:numId w:val="2"/>
        </w:numPr>
        <w:tabs>
          <w:tab w:val="left" w:pos="0"/>
        </w:tabs>
        <w:spacing w:line="440" w:lineRule="exact"/>
        <w:ind w:left="-6" w:firstLine="426"/>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承包人应加强施工组织管理，做到文明施工、安全施工、错峰施工、上下班高峰期停止施工</w:t>
      </w:r>
      <w:r>
        <w:rPr>
          <w:rFonts w:hint="eastAsia" w:ascii="宋体" w:hAnsi="宋体" w:eastAsia="宋体" w:cs="宋体"/>
          <w:iCs/>
          <w:color w:val="000000" w:themeColor="text1"/>
          <w:szCs w:val="21"/>
          <w14:textFill>
            <w14:solidFill>
              <w14:schemeClr w14:val="tx1"/>
            </w14:solidFill>
          </w14:textFill>
        </w:rPr>
        <w:t>或按照发包人要求夜间施工</w:t>
      </w:r>
      <w:r>
        <w:rPr>
          <w:rFonts w:hint="eastAsia" w:ascii="宋体" w:hAnsi="宋体" w:eastAsia="宋体" w:cs="宋体"/>
          <w:color w:val="000000" w:themeColor="text1"/>
          <w:szCs w:val="21"/>
          <w14:textFill>
            <w14:solidFill>
              <w14:schemeClr w14:val="tx1"/>
            </w14:solidFill>
          </w14:textFill>
        </w:rPr>
        <w:t>。承包人未按照安全生产要求和标准施工造成的一切责任和损失均由承包人承担。</w:t>
      </w:r>
    </w:p>
    <w:p w14:paraId="1AA6E64F">
      <w:pPr>
        <w:pStyle w:val="16"/>
        <w:tabs>
          <w:tab w:val="left" w:pos="0"/>
        </w:tabs>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6、承包人应为本项目配备成员不少于4人的每日巡查小组，建立完善的日常巡查制度、管理制度、应急处理制度、自查自检制度。每</w:t>
      </w:r>
      <w:r>
        <w:rPr>
          <w:rFonts w:ascii="宋体" w:hAnsi="宋体" w:eastAsia="宋体" w:cs="宋体"/>
          <w:color w:val="000000" w:themeColor="text1"/>
          <w:szCs w:val="21"/>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 xml:space="preserve">天一轮对承包范围内的市政设施进行巡查，遇到雨季汛期、台风天气、突发气象灾害或创城迎检时，发包人要求增加巡查时间或者次数的，承包人须给予配合。巡查人员需对巡查所发现问题及时进行登记，并于每月底汇总向发包人提供巡查问题记录表和照片。巡查人员的费用由承包人承担，发包人不另支付该项费用。 </w:t>
      </w:r>
    </w:p>
    <w:p w14:paraId="252FCBB2">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巡查实施项目负责人全面负责制度，巡查小组须同时向发包人及承包人项目负责人反馈每日巡查状况。巡查小组在巡查过程中发现市政设施有损坏情况的，须及时向发包人及项目负责人进行反馈，并依照发包人意见作出处理。</w:t>
      </w:r>
    </w:p>
    <w:p w14:paraId="5385DA26">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8、对于巡查过程中发现的路面石块和其他影响通行安全的障碍物，巡查小组要及时清理，</w:t>
      </w:r>
      <w:r>
        <w:rPr>
          <w:rFonts w:hint="eastAsia" w:ascii="宋体" w:hAnsi="宋体" w:eastAsia="宋体" w:cs="宋体"/>
          <w:color w:val="000000" w:themeColor="text1"/>
          <w:szCs w:val="21"/>
          <w:lang w:eastAsia="zh-CN"/>
          <w14:textFill>
            <w14:solidFill>
              <w14:schemeClr w14:val="tx1"/>
            </w14:solidFill>
          </w14:textFill>
        </w:rPr>
        <w:t>发现</w:t>
      </w:r>
      <w:r>
        <w:rPr>
          <w:rFonts w:hint="eastAsia" w:ascii="宋体" w:hAnsi="宋体" w:eastAsia="宋体" w:cs="宋体"/>
          <w:color w:val="000000" w:themeColor="text1"/>
          <w:szCs w:val="21"/>
          <w14:textFill>
            <w14:solidFill>
              <w14:schemeClr w14:val="tx1"/>
            </w14:solidFill>
          </w14:textFill>
        </w:rPr>
        <w:t>破坏道路及配套设施的行为，要</w:t>
      </w:r>
      <w:r>
        <w:rPr>
          <w:rFonts w:hint="eastAsia" w:ascii="宋体" w:hAnsi="宋体" w:eastAsia="宋体" w:cs="宋体"/>
          <w:color w:val="000000" w:themeColor="text1"/>
          <w:szCs w:val="21"/>
          <w:lang w:eastAsia="zh-CN"/>
          <w14:textFill>
            <w14:solidFill>
              <w14:schemeClr w14:val="tx1"/>
            </w14:solidFill>
          </w14:textFill>
        </w:rPr>
        <w:t>立即制止</w:t>
      </w:r>
      <w:r>
        <w:rPr>
          <w:rFonts w:hint="eastAsia" w:ascii="宋体" w:hAnsi="宋体" w:eastAsia="宋体" w:cs="宋体"/>
          <w:color w:val="000000" w:themeColor="text1"/>
          <w:szCs w:val="21"/>
          <w14:textFill>
            <w14:solidFill>
              <w14:schemeClr w14:val="tx1"/>
            </w14:solidFill>
          </w14:textFill>
        </w:rPr>
        <w:t>并及时上报。</w:t>
      </w:r>
    </w:p>
    <w:p w14:paraId="7525645E">
      <w:pPr>
        <w:pStyle w:val="16"/>
        <w:tabs>
          <w:tab w:val="left" w:pos="0"/>
        </w:tabs>
        <w:spacing w:line="440" w:lineRule="exact"/>
        <w:ind w:left="4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9、巡查车辆应按相关规定办理报牌手续及保险手续，所产生的费用及责任事故均由承包人承担。</w:t>
      </w:r>
    </w:p>
    <w:p w14:paraId="0804AF98">
      <w:pPr>
        <w:pStyle w:val="16"/>
        <w:tabs>
          <w:tab w:val="left" w:pos="0"/>
        </w:tabs>
        <w:spacing w:line="440" w:lineRule="exact"/>
        <w:ind w:firstLine="420" w:firstLineChars="200"/>
        <w:rPr>
          <w:rFonts w:ascii="宋体" w:hAnsi="宋体" w:eastAsia="宋体" w:cs="宋体"/>
          <w:color w:val="000000" w:themeColor="text1"/>
          <w:szCs w:val="21"/>
          <w:highlight w:val="none"/>
          <w:u w:val="none"/>
          <w:lang w:eastAsia="zh-CN"/>
          <w14:textFill>
            <w14:solidFill>
              <w14:schemeClr w14:val="tx1"/>
            </w14:solidFill>
          </w14:textFill>
        </w:rPr>
      </w:pPr>
      <w:bookmarkStart w:id="32" w:name="auto_fouce_11"/>
      <w:r>
        <w:rPr>
          <w:rFonts w:hint="eastAsia" w:ascii="宋体" w:hAnsi="宋体" w:eastAsia="宋体" w:cs="宋体"/>
          <w:color w:val="000000" w:themeColor="text1"/>
          <w:szCs w:val="21"/>
          <w:u w:val="none"/>
          <w14:textFill>
            <w14:solidFill>
              <w14:schemeClr w14:val="tx1"/>
            </w14:solidFill>
          </w14:textFill>
        </w:rPr>
        <w:t>10、承包人在日常巡查及维护过程中，发现路面破损严重、坑槽深度较大、雨水井盖（箅）破损、缺失或其他市政设施损坏等影响行车行人安全的，应立即设置安全警示标志和防护措施，并且在发包人要求的时间内给予修复，确保路面平整、井盖（箅）、行车行人安全。若因承包人未及时设置安全警示标志和防护措施并修复到位危及行车行人安全或造成人身财产损失的，由承包人承担一切责任。承包人发现未经许可擅自挖掘道路或破坏市政设施的行为，要立即上报发包人。</w:t>
      </w:r>
      <w:r>
        <w:rPr>
          <w:rFonts w:hint="eastAsia" w:ascii="宋体" w:hAnsi="宋体" w:eastAsia="宋体" w:cs="宋体"/>
          <w:color w:val="000000" w:themeColor="text1"/>
          <w:szCs w:val="21"/>
          <w:highlight w:val="none"/>
          <w:u w:val="none"/>
          <w:lang w:eastAsia="zh-CN"/>
          <w14:textFill>
            <w14:solidFill>
              <w14:schemeClr w14:val="tx1"/>
            </w14:solidFill>
          </w14:textFill>
        </w:rPr>
        <w:t>设置安全警示标志时，须采用符合GB5768标准的路锥、警示牌等设施。</w:t>
      </w:r>
      <w:bookmarkEnd w:id="32"/>
    </w:p>
    <w:p w14:paraId="15B2F96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施工过程中产生的建筑垃圾承包人应全部及时清运，施工过程中发生的各项清理费用、临时性收费、临时设施费和施工临时便道、堆放场、预制场等临时性占用场地费，由承包人承担，均包括在合同总价中，发包人不另支付相关费用。</w:t>
      </w:r>
    </w:p>
    <w:p w14:paraId="32BEFAD4">
      <w:pPr>
        <w:pStyle w:val="16"/>
        <w:tabs>
          <w:tab w:val="left" w:pos="0"/>
        </w:tabs>
        <w:spacing w:line="440" w:lineRule="exact"/>
        <w:ind w:firstLine="420" w:firstLineChars="200"/>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12、在汛期、台风、雨季期间，承包人应安排</w:t>
      </w:r>
      <w:r>
        <w:rPr>
          <w:rFonts w:hint="eastAsia" w:ascii="宋体" w:hAnsi="宋体" w:eastAsia="宋体" w:cs="宋体"/>
          <w:color w:val="000000" w:themeColor="text1"/>
          <w:szCs w:val="21"/>
          <w:lang w:eastAsia="zh-CN"/>
          <w14:textFill>
            <w14:solidFill>
              <w14:schemeClr w14:val="tx1"/>
            </w14:solidFill>
          </w14:textFill>
        </w:rPr>
        <w:t>养护主要人员轮流带班，且</w:t>
      </w:r>
      <w:r>
        <w:rPr>
          <w:rFonts w:hint="eastAsia" w:ascii="宋体" w:hAnsi="宋体" w:eastAsia="宋体" w:cs="宋体"/>
          <w:color w:val="000000" w:themeColor="text1"/>
          <w:szCs w:val="21"/>
          <w14:textFill>
            <w14:solidFill>
              <w14:schemeClr w14:val="tx1"/>
            </w14:solidFill>
          </w14:textFill>
        </w:rPr>
        <w:t>至少4人24小时值班，并成立不少于</w:t>
      </w:r>
      <w:r>
        <w:rPr>
          <w:rFonts w:hint="eastAsia" w:ascii="宋体" w:hAnsi="宋体" w:eastAsia="宋体" w:cs="宋体"/>
          <w:color w:val="000000" w:themeColor="text1"/>
          <w:szCs w:val="21"/>
          <w:lang w:val="en-US" w:eastAsia="zh-CN"/>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人的抢险队伍上路巡查，及时清理边沟、雨水箅的垃圾，保证道路行车行人安全及排水畅通。发现较大的道路水毁事件或其它突发事件，应立即上报发包人。</w:t>
      </w:r>
      <w:r>
        <w:rPr>
          <w:rFonts w:hint="eastAsia" w:ascii="宋体" w:hAnsi="宋体" w:eastAsia="宋体" w:cs="宋体"/>
          <w:color w:val="000000" w:themeColor="text1"/>
          <w:szCs w:val="21"/>
          <w:lang w:eastAsia="zh-CN"/>
          <w14:textFill>
            <w14:solidFill>
              <w14:schemeClr w14:val="tx1"/>
            </w14:solidFill>
          </w14:textFill>
        </w:rPr>
        <w:t>发包人有权根据防汛需要在</w:t>
      </w:r>
      <w:r>
        <w:rPr>
          <w:rFonts w:hint="eastAsia" w:ascii="宋体" w:hAnsi="宋体" w:eastAsia="宋体" w:cs="宋体"/>
          <w:color w:val="000000" w:themeColor="text1"/>
          <w:szCs w:val="21"/>
          <w:lang w:val="en-US" w:eastAsia="zh-CN"/>
          <w14:textFill>
            <w14:solidFill>
              <w14:schemeClr w14:val="tx1"/>
            </w14:solidFill>
          </w14:textFill>
        </w:rPr>
        <w:t>2个标段之间</w:t>
      </w:r>
      <w:r>
        <w:rPr>
          <w:rFonts w:hint="eastAsia" w:ascii="宋体" w:hAnsi="宋体" w:eastAsia="宋体" w:cs="宋体"/>
          <w:color w:val="000000" w:themeColor="text1"/>
          <w:szCs w:val="21"/>
          <w:lang w:eastAsia="zh-CN"/>
          <w14:textFill>
            <w14:solidFill>
              <w14:schemeClr w14:val="tx1"/>
            </w14:solidFill>
          </w14:textFill>
        </w:rPr>
        <w:t>统筹协调调度</w:t>
      </w:r>
      <w:r>
        <w:rPr>
          <w:rFonts w:hint="eastAsia" w:ascii="宋体" w:hAnsi="宋体" w:eastAsia="宋体" w:cs="宋体"/>
          <w:color w:val="000000" w:themeColor="text1"/>
          <w:szCs w:val="21"/>
          <w:lang w:val="en-US" w:eastAsia="zh-CN"/>
          <w14:textFill>
            <w14:solidFill>
              <w14:schemeClr w14:val="tx1"/>
            </w14:solidFill>
          </w14:textFill>
        </w:rPr>
        <w:t>应急抢险人员，2个标段的抢险人员应服从发包人的安排。</w:t>
      </w:r>
    </w:p>
    <w:p w14:paraId="55F43445">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13、承包人应配备有限空间作业的防护设备与用品，包括隔离式防毒面具、安全带、安全帽、皮叉、防护服、防护鞋、手套、气体检测设备、专用通风机、防爆灯等防护设备与用品。</w:t>
      </w:r>
    </w:p>
    <w:p w14:paraId="633C2362">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bookmarkStart w:id="33" w:name="auto_fouce_12"/>
      <w:r>
        <w:rPr>
          <w:rFonts w:hint="eastAsia" w:ascii="宋体" w:hAnsi="宋体" w:eastAsia="宋体" w:cs="宋体"/>
          <w:color w:val="000000" w:themeColor="text1"/>
          <w:szCs w:val="21"/>
          <w14:textFill>
            <w14:solidFill>
              <w14:schemeClr w14:val="tx1"/>
            </w14:solidFill>
          </w14:textFill>
        </w:rPr>
        <w:t>14、遇到临时突击任务、各种重要活动、节假日、创城迎检或上级检查评比等，承包人应服从工作安排，</w:t>
      </w:r>
      <w:r>
        <w:rPr>
          <w:rFonts w:hint="eastAsia" w:ascii="宋体" w:hAnsi="宋体" w:eastAsia="宋体" w:cs="宋体"/>
          <w:color w:val="000000" w:themeColor="text1"/>
          <w:szCs w:val="21"/>
          <w:u w:val="none"/>
          <w:lang w:eastAsia="zh-CN"/>
          <w14:textFill>
            <w14:solidFill>
              <w14:schemeClr w14:val="tx1"/>
            </w14:solidFill>
          </w14:textFill>
        </w:rPr>
        <w:t>加大人力物力投入，</w:t>
      </w:r>
      <w:r>
        <w:rPr>
          <w:rFonts w:hint="eastAsia" w:ascii="宋体" w:hAnsi="宋体" w:eastAsia="宋体" w:cs="宋体"/>
          <w:color w:val="000000" w:themeColor="text1"/>
          <w:szCs w:val="21"/>
          <w14:textFill>
            <w14:solidFill>
              <w14:schemeClr w14:val="tx1"/>
            </w14:solidFill>
          </w14:textFill>
        </w:rPr>
        <w:t>确保完成任务。</w:t>
      </w:r>
      <w:bookmarkEnd w:id="33"/>
    </w:p>
    <w:p w14:paraId="65E08DAE">
      <w:pPr>
        <w:pStyle w:val="16"/>
        <w:tabs>
          <w:tab w:val="left" w:pos="0"/>
        </w:tabs>
        <w:spacing w:line="440" w:lineRule="exact"/>
        <w:ind w:firstLine="420" w:firstLineChars="200"/>
        <w:rPr>
          <w:rFonts w:hint="eastAsia" w:ascii="宋体" w:hAnsi="宋体" w:eastAsia="宋体" w:cs="宋体"/>
          <w:color w:val="000000" w:themeColor="text1"/>
          <w:szCs w:val="21"/>
          <w:lang w:val="en-US" w:eastAsia="zh-CN"/>
          <w14:textFill>
            <w14:solidFill>
              <w14:schemeClr w14:val="tx1"/>
            </w14:solidFill>
          </w14:textFill>
        </w:rPr>
      </w:pPr>
      <w:bookmarkStart w:id="34" w:name="auto_fouce_14"/>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、办公场所的要求：为保证服务质量及维护便捷性，承包人须具有固定的办公场所及仓库，其中仓库面积不少于200平方米，并有合适的场地能够放置材料、车辆、设备及工具</w:t>
      </w:r>
      <w:bookmarkEnd w:id="34"/>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承包人应提供场地有效证明以及具体位置及联系方式</w:t>
      </w:r>
      <w:r>
        <w:rPr>
          <w:rFonts w:hint="eastAsia" w:ascii="宋体" w:hAnsi="宋体" w:eastAsia="宋体" w:cs="宋体"/>
          <w:color w:val="000000" w:themeColor="text1"/>
          <w:szCs w:val="21"/>
          <w:lang w:eastAsia="zh-CN"/>
          <w14:textFill>
            <w14:solidFill>
              <w14:schemeClr w14:val="tx1"/>
            </w14:solidFill>
          </w14:textFill>
        </w:rPr>
        <w:t>。</w:t>
      </w:r>
    </w:p>
    <w:p w14:paraId="10961100">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项目团队成员最低配备要求</w:t>
      </w:r>
    </w:p>
    <w:tbl>
      <w:tblPr>
        <w:tblStyle w:val="7"/>
        <w:tblW w:w="9172" w:type="dxa"/>
        <w:tblCellSpacing w:w="15" w:type="dxa"/>
        <w:tblInd w:w="-6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1689"/>
        <w:gridCol w:w="1384"/>
        <w:gridCol w:w="6099"/>
      </w:tblGrid>
      <w:tr w14:paraId="24F44FC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584" w:hRule="atLeast"/>
          <w:tblCellSpacing w:w="15" w:type="dxa"/>
        </w:trPr>
        <w:tc>
          <w:tcPr>
            <w:tcW w:w="1644" w:type="dxa"/>
            <w:tcBorders>
              <w:top w:val="single" w:color="auto" w:sz="12" w:space="0"/>
              <w:left w:val="single" w:color="auto" w:sz="12" w:space="0"/>
              <w:bottom w:val="single" w:color="auto" w:sz="6" w:space="0"/>
              <w:right w:val="single" w:color="auto" w:sz="6" w:space="0"/>
            </w:tcBorders>
            <w:tcMar>
              <w:top w:w="0" w:type="dxa"/>
              <w:left w:w="95" w:type="dxa"/>
              <w:bottom w:w="0" w:type="dxa"/>
              <w:right w:w="95" w:type="dxa"/>
            </w:tcMar>
            <w:vAlign w:val="center"/>
          </w:tcPr>
          <w:p w14:paraId="74E7D2ED">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人  员</w:t>
            </w:r>
          </w:p>
        </w:tc>
        <w:tc>
          <w:tcPr>
            <w:tcW w:w="1354" w:type="dxa"/>
            <w:tcBorders>
              <w:top w:val="single" w:color="auto" w:sz="12" w:space="0"/>
              <w:left w:val="single" w:color="auto" w:sz="6" w:space="0"/>
              <w:bottom w:val="single" w:color="auto" w:sz="6" w:space="0"/>
              <w:right w:val="single" w:color="auto" w:sz="6" w:space="0"/>
            </w:tcBorders>
            <w:tcMar>
              <w:top w:w="0" w:type="dxa"/>
              <w:left w:w="95" w:type="dxa"/>
              <w:bottom w:w="0" w:type="dxa"/>
              <w:right w:w="95" w:type="dxa"/>
            </w:tcMar>
            <w:vAlign w:val="center"/>
          </w:tcPr>
          <w:p w14:paraId="0F9E83F0">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数量</w:t>
            </w:r>
          </w:p>
        </w:tc>
        <w:tc>
          <w:tcPr>
            <w:tcW w:w="6054" w:type="dxa"/>
            <w:tcBorders>
              <w:top w:val="single" w:color="auto" w:sz="12" w:space="0"/>
              <w:left w:val="single" w:color="auto" w:sz="6" w:space="0"/>
              <w:bottom w:val="single" w:color="auto" w:sz="6" w:space="0"/>
              <w:right w:val="single" w:color="auto" w:sz="12" w:space="0"/>
            </w:tcBorders>
            <w:tcMar>
              <w:top w:w="0" w:type="dxa"/>
              <w:left w:w="95" w:type="dxa"/>
              <w:bottom w:w="0" w:type="dxa"/>
              <w:right w:w="95" w:type="dxa"/>
            </w:tcMar>
            <w:vAlign w:val="center"/>
          </w:tcPr>
          <w:p w14:paraId="34127B44">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资格要求</w:t>
            </w:r>
          </w:p>
        </w:tc>
      </w:tr>
      <w:tr w14:paraId="5F1DC9A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530" w:hRule="atLeast"/>
          <w:tblCellSpacing w:w="15" w:type="dxa"/>
        </w:trPr>
        <w:tc>
          <w:tcPr>
            <w:tcW w:w="1644" w:type="dxa"/>
            <w:tcBorders>
              <w:top w:val="single" w:color="auto" w:sz="6" w:space="0"/>
              <w:left w:val="single" w:color="auto" w:sz="12" w:space="0"/>
              <w:bottom w:val="single" w:color="auto" w:sz="12" w:space="0"/>
              <w:right w:val="single" w:color="auto" w:sz="6" w:space="0"/>
            </w:tcBorders>
            <w:tcMar>
              <w:top w:w="0" w:type="dxa"/>
              <w:left w:w="95" w:type="dxa"/>
              <w:bottom w:w="0" w:type="dxa"/>
              <w:right w:w="95" w:type="dxa"/>
            </w:tcMar>
            <w:vAlign w:val="center"/>
          </w:tcPr>
          <w:p w14:paraId="1358AFC1">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巡查人员</w:t>
            </w:r>
          </w:p>
        </w:tc>
        <w:tc>
          <w:tcPr>
            <w:tcW w:w="1354" w:type="dxa"/>
            <w:tcBorders>
              <w:top w:val="single" w:color="auto" w:sz="6" w:space="0"/>
              <w:left w:val="single" w:color="auto" w:sz="6" w:space="0"/>
              <w:bottom w:val="single" w:color="auto" w:sz="12" w:space="0"/>
              <w:right w:val="single" w:color="auto" w:sz="6" w:space="0"/>
            </w:tcBorders>
            <w:tcMar>
              <w:top w:w="0" w:type="dxa"/>
              <w:left w:w="95" w:type="dxa"/>
              <w:bottom w:w="0" w:type="dxa"/>
              <w:right w:w="95" w:type="dxa"/>
            </w:tcMar>
            <w:vAlign w:val="center"/>
          </w:tcPr>
          <w:p w14:paraId="05DFBF36">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r>
              <w:rPr>
                <w:rFonts w:ascii="宋体" w:hAnsi="宋体" w:eastAsia="宋体" w:cs="宋体"/>
                <w:color w:val="000000" w:themeColor="text1"/>
                <w:szCs w:val="21"/>
                <w14:textFill>
                  <w14:solidFill>
                    <w14:schemeClr w14:val="tx1"/>
                  </w14:solidFill>
                </w14:textFill>
              </w:rPr>
              <w:t>人</w:t>
            </w:r>
          </w:p>
        </w:tc>
        <w:tc>
          <w:tcPr>
            <w:tcW w:w="6054" w:type="dxa"/>
            <w:tcBorders>
              <w:top w:val="single" w:color="auto" w:sz="6" w:space="0"/>
              <w:left w:val="single" w:color="auto" w:sz="6" w:space="0"/>
              <w:bottom w:val="single" w:color="auto" w:sz="12" w:space="0"/>
              <w:right w:val="single" w:color="auto" w:sz="12" w:space="0"/>
            </w:tcBorders>
            <w:tcMar>
              <w:top w:w="0" w:type="dxa"/>
              <w:left w:w="95" w:type="dxa"/>
              <w:bottom w:w="0" w:type="dxa"/>
              <w:right w:w="95" w:type="dxa"/>
            </w:tcMar>
            <w:vAlign w:val="center"/>
          </w:tcPr>
          <w:p w14:paraId="21BD3557">
            <w:pPr>
              <w:pStyle w:val="16"/>
              <w:tabs>
                <w:tab w:val="left" w:pos="0"/>
              </w:tabs>
              <w:spacing w:line="440" w:lineRule="exac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签订合同时须提供巡查人员名单及身份证复印件并加盖公章</w:t>
            </w:r>
          </w:p>
        </w:tc>
      </w:tr>
      <w:tr w14:paraId="367090D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530" w:hRule="atLeast"/>
          <w:tblCellSpacing w:w="15" w:type="dxa"/>
        </w:trPr>
        <w:tc>
          <w:tcPr>
            <w:tcW w:w="1644" w:type="dxa"/>
            <w:tcBorders>
              <w:top w:val="single" w:color="auto" w:sz="6" w:space="0"/>
              <w:left w:val="single" w:color="auto" w:sz="12" w:space="0"/>
              <w:bottom w:val="single" w:color="auto" w:sz="6" w:space="0"/>
              <w:right w:val="single" w:color="auto" w:sz="6" w:space="0"/>
            </w:tcBorders>
            <w:tcMar>
              <w:top w:w="0" w:type="dxa"/>
              <w:left w:w="95" w:type="dxa"/>
              <w:bottom w:w="0" w:type="dxa"/>
              <w:right w:w="95" w:type="dxa"/>
            </w:tcMar>
            <w:vAlign w:val="center"/>
          </w:tcPr>
          <w:p w14:paraId="4A25B89C">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作业</w:t>
            </w:r>
            <w:r>
              <w:rPr>
                <w:rFonts w:ascii="宋体" w:hAnsi="宋体" w:eastAsia="宋体" w:cs="宋体"/>
                <w:color w:val="000000" w:themeColor="text1"/>
                <w:szCs w:val="21"/>
                <w14:textFill>
                  <w14:solidFill>
                    <w14:schemeClr w14:val="tx1"/>
                  </w14:solidFill>
                </w14:textFill>
              </w:rPr>
              <w:t>人员</w:t>
            </w:r>
          </w:p>
        </w:tc>
        <w:tc>
          <w:tcPr>
            <w:tcW w:w="1354" w:type="dxa"/>
            <w:tcBorders>
              <w:top w:val="single" w:color="auto" w:sz="6" w:space="0"/>
              <w:left w:val="single" w:color="auto" w:sz="6" w:space="0"/>
              <w:bottom w:val="single" w:color="auto" w:sz="6" w:space="0"/>
              <w:right w:val="single" w:color="auto" w:sz="6" w:space="0"/>
            </w:tcBorders>
            <w:tcMar>
              <w:top w:w="0" w:type="dxa"/>
              <w:left w:w="95" w:type="dxa"/>
              <w:bottom w:w="0" w:type="dxa"/>
              <w:right w:w="95" w:type="dxa"/>
            </w:tcMar>
            <w:vAlign w:val="center"/>
          </w:tcPr>
          <w:p w14:paraId="74AA7CBE">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10</w:t>
            </w:r>
            <w:r>
              <w:rPr>
                <w:rFonts w:ascii="宋体" w:hAnsi="宋体" w:eastAsia="宋体" w:cs="宋体"/>
                <w:color w:val="000000" w:themeColor="text1"/>
                <w:szCs w:val="21"/>
                <w14:textFill>
                  <w14:solidFill>
                    <w14:schemeClr w14:val="tx1"/>
                  </w14:solidFill>
                </w14:textFill>
              </w:rPr>
              <w:t>人</w:t>
            </w:r>
          </w:p>
        </w:tc>
        <w:tc>
          <w:tcPr>
            <w:tcW w:w="6054" w:type="dxa"/>
            <w:tcBorders>
              <w:top w:val="single" w:color="auto" w:sz="6" w:space="0"/>
              <w:left w:val="single" w:color="auto" w:sz="6" w:space="0"/>
              <w:bottom w:val="single" w:color="auto" w:sz="6" w:space="0"/>
              <w:right w:val="single" w:color="auto" w:sz="12" w:space="0"/>
            </w:tcBorders>
            <w:tcMar>
              <w:top w:w="0" w:type="dxa"/>
              <w:left w:w="95" w:type="dxa"/>
              <w:bottom w:w="0" w:type="dxa"/>
              <w:right w:w="95" w:type="dxa"/>
            </w:tcMar>
            <w:vAlign w:val="center"/>
          </w:tcPr>
          <w:p w14:paraId="395F6CA8">
            <w:pPr>
              <w:pStyle w:val="16"/>
              <w:tabs>
                <w:tab w:val="left" w:pos="0"/>
              </w:tabs>
              <w:spacing w:line="440" w:lineRule="exac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签订合同时须提供作业人员名单及身份证复印件并加盖公章</w:t>
            </w:r>
          </w:p>
        </w:tc>
      </w:tr>
    </w:tbl>
    <w:p w14:paraId="683EE05D">
      <w:pPr>
        <w:pStyle w:val="16"/>
        <w:tabs>
          <w:tab w:val="left" w:pos="0"/>
        </w:tabs>
        <w:spacing w:line="44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以上人员一人一岗不得兼任。</w:t>
      </w:r>
      <w:bookmarkStart w:id="35" w:name="auto_fouce_16"/>
      <w:r>
        <w:rPr>
          <w:rFonts w:hint="eastAsia" w:ascii="宋体" w:hAnsi="宋体" w:eastAsia="宋体" w:cs="宋体"/>
          <w:color w:val="000000" w:themeColor="text1"/>
          <w:szCs w:val="21"/>
          <w:lang w:eastAsia="zh-CN"/>
          <w14:textFill>
            <w14:solidFill>
              <w14:schemeClr w14:val="tx1"/>
            </w14:solidFill>
          </w14:textFill>
        </w:rPr>
        <w:t>发包人有权根据项目实际需要，书面通知承包人调整人员数量及资格要求，承包人应无条件配合增补或更换不合格人员，相关费用由承包人承担。</w:t>
      </w:r>
      <w:bookmarkEnd w:id="35"/>
    </w:p>
    <w:p w14:paraId="58EEC8BC">
      <w:pPr>
        <w:pStyle w:val="16"/>
        <w:tabs>
          <w:tab w:val="left" w:pos="0"/>
        </w:tabs>
        <w:spacing w:line="44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本项目需要配备相应的辅材，具体如下：</w:t>
      </w:r>
    </w:p>
    <w:tbl>
      <w:tblPr>
        <w:tblStyle w:val="7"/>
        <w:tblW w:w="0" w:type="auto"/>
        <w:tblCellSpacing w:w="15" w:type="dxa"/>
        <w:tblInd w:w="-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15" w:type="dxa"/>
          <w:left w:w="15" w:type="dxa"/>
          <w:bottom w:w="15" w:type="dxa"/>
          <w:right w:w="15" w:type="dxa"/>
        </w:tblCellMar>
      </w:tblPr>
      <w:tblGrid>
        <w:gridCol w:w="2465"/>
        <w:gridCol w:w="2371"/>
        <w:gridCol w:w="938"/>
        <w:gridCol w:w="1809"/>
        <w:gridCol w:w="1809"/>
      </w:tblGrid>
      <w:tr w14:paraId="5399AF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95" w:hRule="atLeast"/>
          <w:tblCellSpacing w:w="15" w:type="dxa"/>
        </w:trPr>
        <w:tc>
          <w:tcPr>
            <w:tcW w:w="2420" w:type="dxa"/>
            <w:tcMar>
              <w:top w:w="0" w:type="dxa"/>
              <w:left w:w="117" w:type="dxa"/>
              <w:bottom w:w="0" w:type="dxa"/>
              <w:right w:w="117" w:type="dxa"/>
            </w:tcMar>
          </w:tcPr>
          <w:p w14:paraId="1B956859">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设备名称</w:t>
            </w:r>
          </w:p>
        </w:tc>
        <w:tc>
          <w:tcPr>
            <w:tcW w:w="2341" w:type="dxa"/>
            <w:tcMar>
              <w:top w:w="0" w:type="dxa"/>
              <w:left w:w="117" w:type="dxa"/>
              <w:bottom w:w="0" w:type="dxa"/>
              <w:right w:w="117" w:type="dxa"/>
            </w:tcMar>
          </w:tcPr>
          <w:p w14:paraId="03B0244E">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规格、功率及容量</w:t>
            </w:r>
          </w:p>
        </w:tc>
        <w:tc>
          <w:tcPr>
            <w:tcW w:w="908" w:type="dxa"/>
            <w:tcMar>
              <w:top w:w="0" w:type="dxa"/>
              <w:left w:w="117" w:type="dxa"/>
              <w:bottom w:w="0" w:type="dxa"/>
              <w:right w:w="117" w:type="dxa"/>
            </w:tcMar>
          </w:tcPr>
          <w:p w14:paraId="552B85DD">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单位</w:t>
            </w:r>
          </w:p>
        </w:tc>
        <w:tc>
          <w:tcPr>
            <w:tcW w:w="1779" w:type="dxa"/>
            <w:tcMar>
              <w:top w:w="0" w:type="dxa"/>
              <w:left w:w="117" w:type="dxa"/>
              <w:bottom w:w="0" w:type="dxa"/>
              <w:right w:w="117" w:type="dxa"/>
            </w:tcMar>
          </w:tcPr>
          <w:p w14:paraId="4D2B8E3C">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最低数量要求</w:t>
            </w:r>
          </w:p>
        </w:tc>
        <w:tc>
          <w:tcPr>
            <w:tcW w:w="1764" w:type="dxa"/>
            <w:tcMar>
              <w:top w:w="0" w:type="dxa"/>
              <w:left w:w="117" w:type="dxa"/>
              <w:bottom w:w="0" w:type="dxa"/>
              <w:right w:w="117" w:type="dxa"/>
            </w:tcMar>
          </w:tcPr>
          <w:p w14:paraId="3A93B5FE">
            <w:pPr>
              <w:pStyle w:val="16"/>
              <w:tabs>
                <w:tab w:val="left" w:pos="0"/>
              </w:tabs>
              <w:spacing w:line="44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r>
      <w:tr w14:paraId="238BE3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2" w:hRule="atLeast"/>
          <w:tblCellSpacing w:w="15" w:type="dxa"/>
        </w:trPr>
        <w:tc>
          <w:tcPr>
            <w:tcW w:w="2420" w:type="dxa"/>
            <w:shd w:val="clear" w:color="auto" w:fill="auto"/>
            <w:tcMar>
              <w:top w:w="0" w:type="dxa"/>
              <w:left w:w="117" w:type="dxa"/>
              <w:bottom w:w="0" w:type="dxa"/>
              <w:right w:w="117" w:type="dxa"/>
            </w:tcMar>
            <w:vAlign w:val="top"/>
          </w:tcPr>
          <w:p w14:paraId="2D4EB836">
            <w:pPr>
              <w:pStyle w:val="16"/>
              <w:tabs>
                <w:tab w:val="left" w:pos="0"/>
              </w:tabs>
              <w:spacing w:line="440" w:lineRule="exact"/>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水马</w:t>
            </w:r>
          </w:p>
        </w:tc>
        <w:tc>
          <w:tcPr>
            <w:tcW w:w="2341" w:type="dxa"/>
            <w:shd w:val="clear" w:color="auto" w:fill="auto"/>
            <w:tcMar>
              <w:top w:w="0" w:type="dxa"/>
              <w:left w:w="117" w:type="dxa"/>
              <w:bottom w:w="0" w:type="dxa"/>
              <w:right w:w="117" w:type="dxa"/>
            </w:tcMar>
            <w:vAlign w:val="center"/>
          </w:tcPr>
          <w:p w14:paraId="7B99D459">
            <w:pPr>
              <w:pStyle w:val="16"/>
              <w:tabs>
                <w:tab w:val="left" w:pos="0"/>
              </w:tabs>
              <w:spacing w:line="440" w:lineRule="exact"/>
              <w:ind w:firstLine="420" w:firstLineChars="20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满足施工要求</w:t>
            </w:r>
          </w:p>
        </w:tc>
        <w:tc>
          <w:tcPr>
            <w:tcW w:w="908" w:type="dxa"/>
            <w:shd w:val="clear" w:color="auto" w:fill="auto"/>
            <w:tcMar>
              <w:top w:w="0" w:type="dxa"/>
              <w:left w:w="117" w:type="dxa"/>
              <w:bottom w:w="0" w:type="dxa"/>
              <w:right w:w="117" w:type="dxa"/>
            </w:tcMar>
            <w:vAlign w:val="top"/>
          </w:tcPr>
          <w:p w14:paraId="3670947E">
            <w:pPr>
              <w:pStyle w:val="16"/>
              <w:tabs>
                <w:tab w:val="left" w:pos="0"/>
              </w:tabs>
              <w:spacing w:line="440" w:lineRule="exact"/>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1779" w:type="dxa"/>
            <w:shd w:val="clear" w:color="auto" w:fill="auto"/>
            <w:tcMar>
              <w:top w:w="0" w:type="dxa"/>
              <w:left w:w="117" w:type="dxa"/>
              <w:bottom w:w="0" w:type="dxa"/>
              <w:right w:w="117" w:type="dxa"/>
            </w:tcMar>
            <w:vAlign w:val="top"/>
          </w:tcPr>
          <w:p w14:paraId="2F1589A6">
            <w:pPr>
              <w:pStyle w:val="16"/>
              <w:tabs>
                <w:tab w:val="left" w:pos="0"/>
              </w:tabs>
              <w:spacing w:line="440" w:lineRule="exact"/>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w:t>
            </w:r>
          </w:p>
        </w:tc>
        <w:tc>
          <w:tcPr>
            <w:tcW w:w="1764" w:type="dxa"/>
            <w:shd w:val="clear" w:color="auto" w:fill="auto"/>
            <w:tcMar>
              <w:top w:w="0" w:type="dxa"/>
              <w:left w:w="117" w:type="dxa"/>
              <w:bottom w:w="0" w:type="dxa"/>
              <w:right w:w="117" w:type="dxa"/>
            </w:tcMar>
            <w:vAlign w:val="top"/>
          </w:tcPr>
          <w:p w14:paraId="58CCCE02">
            <w:pPr>
              <w:pStyle w:val="16"/>
              <w:tabs>
                <w:tab w:val="left" w:pos="0"/>
              </w:tabs>
              <w:spacing w:line="440" w:lineRule="exact"/>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自有</w:t>
            </w:r>
          </w:p>
        </w:tc>
      </w:tr>
      <w:tr w14:paraId="3EBDA6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2" w:hRule="atLeast"/>
          <w:tblCellSpacing w:w="15" w:type="dxa"/>
        </w:trPr>
        <w:tc>
          <w:tcPr>
            <w:tcW w:w="2420" w:type="dxa"/>
            <w:shd w:val="clear" w:color="auto" w:fill="auto"/>
            <w:tcMar>
              <w:top w:w="0" w:type="dxa"/>
              <w:left w:w="117" w:type="dxa"/>
              <w:bottom w:w="0" w:type="dxa"/>
              <w:right w:w="117" w:type="dxa"/>
            </w:tcMar>
            <w:vAlign w:val="top"/>
          </w:tcPr>
          <w:p w14:paraId="78927957">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路锥</w:t>
            </w:r>
          </w:p>
        </w:tc>
        <w:tc>
          <w:tcPr>
            <w:tcW w:w="2341" w:type="dxa"/>
            <w:shd w:val="clear" w:color="auto" w:fill="auto"/>
            <w:tcMar>
              <w:top w:w="0" w:type="dxa"/>
              <w:left w:w="117" w:type="dxa"/>
              <w:bottom w:w="0" w:type="dxa"/>
              <w:right w:w="117" w:type="dxa"/>
            </w:tcMar>
            <w:vAlign w:val="center"/>
          </w:tcPr>
          <w:p w14:paraId="7B2AD3BD">
            <w:pPr>
              <w:spacing w:line="440" w:lineRule="exact"/>
              <w:ind w:firstLine="420" w:firstLineChars="200"/>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14:textFill>
                  <w14:solidFill>
                    <w14:schemeClr w14:val="tx1"/>
                  </w14:solidFill>
                </w14:textFill>
              </w:rPr>
              <w:t>满足施工要求</w:t>
            </w:r>
          </w:p>
        </w:tc>
        <w:tc>
          <w:tcPr>
            <w:tcW w:w="908" w:type="dxa"/>
            <w:shd w:val="clear" w:color="auto" w:fill="auto"/>
            <w:tcMar>
              <w:top w:w="0" w:type="dxa"/>
              <w:left w:w="117" w:type="dxa"/>
              <w:bottom w:w="0" w:type="dxa"/>
              <w:right w:w="117" w:type="dxa"/>
            </w:tcMar>
            <w:vAlign w:val="top"/>
          </w:tcPr>
          <w:p w14:paraId="29448324">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1779" w:type="dxa"/>
            <w:shd w:val="clear" w:color="auto" w:fill="auto"/>
            <w:tcMar>
              <w:top w:w="0" w:type="dxa"/>
              <w:left w:w="117" w:type="dxa"/>
              <w:bottom w:w="0" w:type="dxa"/>
              <w:right w:w="117" w:type="dxa"/>
            </w:tcMar>
            <w:vAlign w:val="top"/>
          </w:tcPr>
          <w:p w14:paraId="6D95AA41">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w:t>
            </w:r>
          </w:p>
        </w:tc>
        <w:tc>
          <w:tcPr>
            <w:tcW w:w="1764" w:type="dxa"/>
            <w:shd w:val="clear" w:color="auto" w:fill="auto"/>
            <w:tcMar>
              <w:top w:w="0" w:type="dxa"/>
              <w:left w:w="117" w:type="dxa"/>
              <w:bottom w:w="0" w:type="dxa"/>
              <w:right w:w="117" w:type="dxa"/>
            </w:tcMar>
            <w:vAlign w:val="top"/>
          </w:tcPr>
          <w:p w14:paraId="78C7A98D">
            <w:pPr>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自有</w:t>
            </w:r>
          </w:p>
        </w:tc>
      </w:tr>
      <w:tr w14:paraId="39E9B0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2" w:hRule="atLeast"/>
          <w:tblCellSpacing w:w="15" w:type="dxa"/>
        </w:trPr>
        <w:tc>
          <w:tcPr>
            <w:tcW w:w="2420" w:type="dxa"/>
            <w:shd w:val="clear" w:color="auto" w:fill="auto"/>
            <w:tcMar>
              <w:top w:w="0" w:type="dxa"/>
              <w:left w:w="117" w:type="dxa"/>
              <w:bottom w:w="0" w:type="dxa"/>
              <w:right w:w="117" w:type="dxa"/>
            </w:tcMar>
            <w:vAlign w:val="top"/>
          </w:tcPr>
          <w:p w14:paraId="6395E127">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编织袋</w:t>
            </w:r>
          </w:p>
        </w:tc>
        <w:tc>
          <w:tcPr>
            <w:tcW w:w="2341" w:type="dxa"/>
            <w:shd w:val="clear" w:color="auto" w:fill="auto"/>
            <w:tcMar>
              <w:top w:w="0" w:type="dxa"/>
              <w:left w:w="117" w:type="dxa"/>
              <w:bottom w:w="0" w:type="dxa"/>
              <w:right w:w="117" w:type="dxa"/>
            </w:tcMar>
            <w:vAlign w:val="center"/>
          </w:tcPr>
          <w:p w14:paraId="6816E870">
            <w:pPr>
              <w:spacing w:line="440" w:lineRule="exact"/>
              <w:ind w:firstLine="420" w:firstLineChars="200"/>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14:textFill>
                  <w14:solidFill>
                    <w14:schemeClr w14:val="tx1"/>
                  </w14:solidFill>
                </w14:textFill>
              </w:rPr>
              <w:t>满足施工要求</w:t>
            </w:r>
          </w:p>
        </w:tc>
        <w:tc>
          <w:tcPr>
            <w:tcW w:w="908" w:type="dxa"/>
            <w:shd w:val="clear" w:color="auto" w:fill="auto"/>
            <w:tcMar>
              <w:top w:w="0" w:type="dxa"/>
              <w:left w:w="117" w:type="dxa"/>
              <w:bottom w:w="0" w:type="dxa"/>
              <w:right w:w="117" w:type="dxa"/>
            </w:tcMar>
            <w:vAlign w:val="top"/>
          </w:tcPr>
          <w:p w14:paraId="667B4139">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1779" w:type="dxa"/>
            <w:shd w:val="clear" w:color="auto" w:fill="auto"/>
            <w:tcMar>
              <w:top w:w="0" w:type="dxa"/>
              <w:left w:w="117" w:type="dxa"/>
              <w:bottom w:w="0" w:type="dxa"/>
              <w:right w:w="117" w:type="dxa"/>
            </w:tcMar>
            <w:vAlign w:val="top"/>
          </w:tcPr>
          <w:p w14:paraId="47EC325B">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1000</w:t>
            </w:r>
          </w:p>
        </w:tc>
        <w:tc>
          <w:tcPr>
            <w:tcW w:w="1764" w:type="dxa"/>
            <w:shd w:val="clear" w:color="auto" w:fill="auto"/>
            <w:tcMar>
              <w:top w:w="0" w:type="dxa"/>
              <w:left w:w="117" w:type="dxa"/>
              <w:bottom w:w="0" w:type="dxa"/>
              <w:right w:w="117" w:type="dxa"/>
            </w:tcMar>
            <w:vAlign w:val="top"/>
          </w:tcPr>
          <w:p w14:paraId="7423186B">
            <w:pPr>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自有</w:t>
            </w:r>
          </w:p>
        </w:tc>
      </w:tr>
      <w:tr w14:paraId="07FFD1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2" w:hRule="atLeast"/>
          <w:tblCellSpacing w:w="15" w:type="dxa"/>
        </w:trPr>
        <w:tc>
          <w:tcPr>
            <w:tcW w:w="2420" w:type="dxa"/>
            <w:shd w:val="clear" w:color="auto" w:fill="auto"/>
            <w:tcMar>
              <w:top w:w="0" w:type="dxa"/>
              <w:left w:w="117" w:type="dxa"/>
              <w:bottom w:w="0" w:type="dxa"/>
              <w:right w:w="117" w:type="dxa"/>
            </w:tcMar>
            <w:vAlign w:val="top"/>
          </w:tcPr>
          <w:p w14:paraId="5C7EB0D9">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告示牌</w:t>
            </w:r>
          </w:p>
        </w:tc>
        <w:tc>
          <w:tcPr>
            <w:tcW w:w="2341" w:type="dxa"/>
            <w:shd w:val="clear" w:color="auto" w:fill="auto"/>
            <w:tcMar>
              <w:top w:w="0" w:type="dxa"/>
              <w:left w:w="117" w:type="dxa"/>
              <w:bottom w:w="0" w:type="dxa"/>
              <w:right w:w="117" w:type="dxa"/>
            </w:tcMar>
            <w:vAlign w:val="center"/>
          </w:tcPr>
          <w:p w14:paraId="1E6061AA">
            <w:pPr>
              <w:pStyle w:val="16"/>
              <w:tabs>
                <w:tab w:val="left" w:pos="0"/>
              </w:tabs>
              <w:spacing w:line="440" w:lineRule="exact"/>
              <w:ind w:firstLine="420" w:firstLineChars="200"/>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800*600mm</w:t>
            </w:r>
          </w:p>
        </w:tc>
        <w:tc>
          <w:tcPr>
            <w:tcW w:w="908" w:type="dxa"/>
            <w:shd w:val="clear" w:color="auto" w:fill="auto"/>
            <w:tcMar>
              <w:top w:w="0" w:type="dxa"/>
              <w:left w:w="117" w:type="dxa"/>
              <w:bottom w:w="0" w:type="dxa"/>
              <w:right w:w="117" w:type="dxa"/>
            </w:tcMar>
            <w:vAlign w:val="top"/>
          </w:tcPr>
          <w:p w14:paraId="584BFC6C">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1779" w:type="dxa"/>
            <w:shd w:val="clear" w:color="auto" w:fill="auto"/>
            <w:tcMar>
              <w:top w:w="0" w:type="dxa"/>
              <w:left w:w="117" w:type="dxa"/>
              <w:bottom w:w="0" w:type="dxa"/>
              <w:right w:w="117" w:type="dxa"/>
            </w:tcMar>
            <w:vAlign w:val="top"/>
          </w:tcPr>
          <w:p w14:paraId="1C3264C2">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40</w:t>
            </w:r>
          </w:p>
        </w:tc>
        <w:tc>
          <w:tcPr>
            <w:tcW w:w="1764" w:type="dxa"/>
            <w:shd w:val="clear" w:color="auto" w:fill="auto"/>
            <w:tcMar>
              <w:top w:w="0" w:type="dxa"/>
              <w:left w:w="117" w:type="dxa"/>
              <w:bottom w:w="0" w:type="dxa"/>
              <w:right w:w="117" w:type="dxa"/>
            </w:tcMar>
            <w:vAlign w:val="top"/>
          </w:tcPr>
          <w:p w14:paraId="34CEF357">
            <w:pPr>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自有</w:t>
            </w:r>
          </w:p>
        </w:tc>
      </w:tr>
      <w:tr w14:paraId="726DC2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2" w:hRule="atLeast"/>
          <w:tblCellSpacing w:w="15" w:type="dxa"/>
        </w:trPr>
        <w:tc>
          <w:tcPr>
            <w:tcW w:w="2420" w:type="dxa"/>
            <w:shd w:val="clear" w:color="auto" w:fill="auto"/>
            <w:tcMar>
              <w:top w:w="0" w:type="dxa"/>
              <w:left w:w="117" w:type="dxa"/>
              <w:bottom w:w="0" w:type="dxa"/>
              <w:right w:w="117" w:type="dxa"/>
            </w:tcMar>
            <w:vAlign w:val="top"/>
          </w:tcPr>
          <w:p w14:paraId="6E24E8AE">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井盖启闭钩子</w:t>
            </w:r>
          </w:p>
        </w:tc>
        <w:tc>
          <w:tcPr>
            <w:tcW w:w="2341" w:type="dxa"/>
            <w:shd w:val="clear" w:color="auto" w:fill="auto"/>
            <w:tcMar>
              <w:top w:w="0" w:type="dxa"/>
              <w:left w:w="117" w:type="dxa"/>
              <w:bottom w:w="0" w:type="dxa"/>
              <w:right w:w="117" w:type="dxa"/>
            </w:tcMar>
            <w:vAlign w:val="center"/>
          </w:tcPr>
          <w:p w14:paraId="4F9DA815">
            <w:pPr>
              <w:pStyle w:val="16"/>
              <w:tabs>
                <w:tab w:val="left" w:pos="0"/>
              </w:tabs>
              <w:spacing w:line="440" w:lineRule="exact"/>
              <w:ind w:firstLine="420" w:firstLineChars="200"/>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满足施工要求</w:t>
            </w:r>
          </w:p>
        </w:tc>
        <w:tc>
          <w:tcPr>
            <w:tcW w:w="908" w:type="dxa"/>
            <w:shd w:val="clear" w:color="auto" w:fill="auto"/>
            <w:tcMar>
              <w:top w:w="0" w:type="dxa"/>
              <w:left w:w="117" w:type="dxa"/>
              <w:bottom w:w="0" w:type="dxa"/>
              <w:right w:w="117" w:type="dxa"/>
            </w:tcMar>
            <w:vAlign w:val="top"/>
          </w:tcPr>
          <w:p w14:paraId="1BA5528C">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个</w:t>
            </w:r>
          </w:p>
        </w:tc>
        <w:tc>
          <w:tcPr>
            <w:tcW w:w="1779" w:type="dxa"/>
            <w:shd w:val="clear" w:color="auto" w:fill="auto"/>
            <w:tcMar>
              <w:top w:w="0" w:type="dxa"/>
              <w:left w:w="117" w:type="dxa"/>
              <w:bottom w:w="0" w:type="dxa"/>
              <w:right w:w="117" w:type="dxa"/>
            </w:tcMar>
            <w:vAlign w:val="top"/>
          </w:tcPr>
          <w:p w14:paraId="1E5115A7">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1764" w:type="dxa"/>
            <w:shd w:val="clear" w:color="auto" w:fill="auto"/>
            <w:tcMar>
              <w:top w:w="0" w:type="dxa"/>
              <w:left w:w="117" w:type="dxa"/>
              <w:bottom w:w="0" w:type="dxa"/>
              <w:right w:w="117" w:type="dxa"/>
            </w:tcMar>
            <w:vAlign w:val="top"/>
          </w:tcPr>
          <w:p w14:paraId="20017C38">
            <w:pPr>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自有</w:t>
            </w:r>
          </w:p>
        </w:tc>
      </w:tr>
      <w:tr w14:paraId="1B1AEC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2" w:hRule="atLeast"/>
          <w:tblCellSpacing w:w="15" w:type="dxa"/>
        </w:trPr>
        <w:tc>
          <w:tcPr>
            <w:tcW w:w="2420" w:type="dxa"/>
            <w:shd w:val="clear" w:color="auto" w:fill="auto"/>
            <w:tcMar>
              <w:top w:w="0" w:type="dxa"/>
              <w:left w:w="117" w:type="dxa"/>
              <w:bottom w:w="0" w:type="dxa"/>
              <w:right w:w="117" w:type="dxa"/>
            </w:tcMar>
            <w:vAlign w:val="top"/>
          </w:tcPr>
          <w:p w14:paraId="7729CA38">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钢板</w:t>
            </w:r>
          </w:p>
        </w:tc>
        <w:tc>
          <w:tcPr>
            <w:tcW w:w="2341" w:type="dxa"/>
            <w:shd w:val="clear" w:color="auto" w:fill="auto"/>
            <w:tcMar>
              <w:top w:w="0" w:type="dxa"/>
              <w:left w:w="117" w:type="dxa"/>
              <w:bottom w:w="0" w:type="dxa"/>
              <w:right w:w="117" w:type="dxa"/>
            </w:tcMar>
            <w:vAlign w:val="center"/>
          </w:tcPr>
          <w:p w14:paraId="0377F10D">
            <w:pPr>
              <w:pStyle w:val="16"/>
              <w:tabs>
                <w:tab w:val="left" w:pos="0"/>
              </w:tabs>
              <w:spacing w:line="440" w:lineRule="exact"/>
              <w:ind w:firstLine="420" w:firstLineChars="200"/>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1000*2000*20mm</w:t>
            </w:r>
          </w:p>
        </w:tc>
        <w:tc>
          <w:tcPr>
            <w:tcW w:w="908" w:type="dxa"/>
            <w:shd w:val="clear" w:color="auto" w:fill="auto"/>
            <w:tcMar>
              <w:top w:w="0" w:type="dxa"/>
              <w:left w:w="117" w:type="dxa"/>
              <w:bottom w:w="0" w:type="dxa"/>
              <w:right w:w="117" w:type="dxa"/>
            </w:tcMar>
            <w:vAlign w:val="top"/>
          </w:tcPr>
          <w:p w14:paraId="5C9B3B94">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块</w:t>
            </w:r>
          </w:p>
        </w:tc>
        <w:tc>
          <w:tcPr>
            <w:tcW w:w="1779" w:type="dxa"/>
            <w:shd w:val="clear" w:color="auto" w:fill="auto"/>
            <w:tcMar>
              <w:top w:w="0" w:type="dxa"/>
              <w:left w:w="117" w:type="dxa"/>
              <w:bottom w:w="0" w:type="dxa"/>
              <w:right w:w="117" w:type="dxa"/>
            </w:tcMar>
            <w:vAlign w:val="top"/>
          </w:tcPr>
          <w:p w14:paraId="02B78E18">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p>
        </w:tc>
        <w:tc>
          <w:tcPr>
            <w:tcW w:w="1764" w:type="dxa"/>
            <w:shd w:val="clear" w:color="auto" w:fill="auto"/>
            <w:tcMar>
              <w:top w:w="0" w:type="dxa"/>
              <w:left w:w="117" w:type="dxa"/>
              <w:bottom w:w="0" w:type="dxa"/>
              <w:right w:w="117" w:type="dxa"/>
            </w:tcMar>
            <w:vAlign w:val="top"/>
          </w:tcPr>
          <w:p w14:paraId="7CB3BC8C">
            <w:pPr>
              <w:pStyle w:val="16"/>
              <w:tabs>
                <w:tab w:val="left" w:pos="0"/>
              </w:tabs>
              <w:spacing w:line="440" w:lineRule="exact"/>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自有</w:t>
            </w:r>
          </w:p>
        </w:tc>
      </w:tr>
    </w:tbl>
    <w:p w14:paraId="6BD4423F">
      <w:pPr>
        <w:pStyle w:val="16"/>
        <w:tabs>
          <w:tab w:val="left" w:pos="0"/>
        </w:tabs>
        <w:spacing w:line="440" w:lineRule="exact"/>
        <w:ind w:firstLine="420" w:firstLineChars="200"/>
        <w:rPr>
          <w:rFonts w:ascii="宋体" w:hAnsi="宋体" w:eastAsia="宋体" w:cs="宋体"/>
          <w:color w:val="000000" w:themeColor="text1"/>
          <w:szCs w:val="21"/>
          <w:u w:val="none"/>
          <w14:textFill>
            <w14:solidFill>
              <w14:schemeClr w14:val="tx1"/>
            </w14:solidFill>
          </w14:textFill>
        </w:rPr>
      </w:pPr>
      <w:bookmarkStart w:id="36" w:name="auto_fouce_17"/>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8</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临时要求召开会议的，项目负责人应响应出席</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若项目</w:t>
      </w:r>
      <w:r>
        <w:rPr>
          <w:rFonts w:hint="eastAsia" w:ascii="宋体" w:hAnsi="宋体" w:eastAsia="宋体" w:cs="宋体"/>
          <w:color w:val="000000" w:themeColor="text1"/>
          <w:szCs w:val="21"/>
          <w14:textFill>
            <w14:solidFill>
              <w14:schemeClr w14:val="tx1"/>
            </w14:solidFill>
          </w14:textFill>
        </w:rPr>
        <w:t>负责人</w:t>
      </w:r>
      <w:r>
        <w:rPr>
          <w:rFonts w:ascii="宋体" w:hAnsi="宋体" w:eastAsia="宋体" w:cs="宋体"/>
          <w:color w:val="000000" w:themeColor="text1"/>
          <w:szCs w:val="21"/>
          <w14:textFill>
            <w14:solidFill>
              <w14:schemeClr w14:val="tx1"/>
            </w14:solidFill>
          </w14:textFill>
        </w:rPr>
        <w:t>未能出席的，须报经</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同意，方可由项目团队其他成员代为签到或出席。未经</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同意擅自缺席的，</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有权</w:t>
      </w:r>
      <w:r>
        <w:rPr>
          <w:rFonts w:hint="eastAsia" w:ascii="宋体" w:hAnsi="宋体" w:eastAsia="宋体" w:cs="宋体"/>
          <w:color w:val="000000" w:themeColor="text1"/>
          <w:szCs w:val="21"/>
          <w14:textFill>
            <w14:solidFill>
              <w14:schemeClr w14:val="tx1"/>
            </w14:solidFill>
          </w14:textFill>
        </w:rPr>
        <w:t>处以每次</w:t>
      </w:r>
      <w:r>
        <w:rPr>
          <w:rFonts w:ascii="宋体" w:hAnsi="宋体" w:eastAsia="宋体" w:cs="宋体"/>
          <w:color w:val="000000" w:themeColor="text1"/>
          <w:szCs w:val="21"/>
          <w14:textFill>
            <w14:solidFill>
              <w14:schemeClr w14:val="tx1"/>
            </w14:solidFill>
          </w14:textFill>
        </w:rPr>
        <w:t>人民币2000元的违约金，</w:t>
      </w:r>
      <w:r>
        <w:rPr>
          <w:rFonts w:hint="eastAsia" w:ascii="宋体" w:hAnsi="宋体" w:eastAsia="宋体" w:cs="宋体"/>
          <w:bCs/>
          <w:color w:val="000000" w:themeColor="text1"/>
          <w:szCs w:val="21"/>
          <w:u w:val="none"/>
          <w14:textFill>
            <w14:solidFill>
              <w14:schemeClr w14:val="tx1"/>
            </w14:solidFill>
          </w14:textFill>
        </w:rPr>
        <w:t>违约金从当季工程款中直接扣除</w:t>
      </w:r>
      <w:r>
        <w:rPr>
          <w:rFonts w:hint="eastAsia" w:ascii="宋体" w:hAnsi="宋体" w:eastAsia="宋体" w:cs="宋体"/>
          <w:color w:val="000000" w:themeColor="text1"/>
          <w:szCs w:val="21"/>
          <w:u w:val="none"/>
          <w14:textFill>
            <w14:solidFill>
              <w14:schemeClr w14:val="tx1"/>
            </w14:solidFill>
          </w14:textFill>
        </w:rPr>
        <w:t>，</w:t>
      </w:r>
      <w:r>
        <w:rPr>
          <w:rFonts w:hint="eastAsia" w:ascii="宋体" w:hAnsi="宋体" w:eastAsia="宋体" w:cs="宋体"/>
          <w:color w:val="000000" w:themeColor="text1"/>
          <w:szCs w:val="21"/>
          <w:u w:val="none"/>
          <w:lang w:eastAsia="zh-CN"/>
          <w14:textFill>
            <w14:solidFill>
              <w14:schemeClr w14:val="tx1"/>
            </w14:solidFill>
          </w14:textFill>
        </w:rPr>
        <w:t>年度累计缺席不得</w:t>
      </w:r>
      <w:r>
        <w:rPr>
          <w:rFonts w:ascii="宋体" w:hAnsi="宋体" w:eastAsia="宋体" w:cs="宋体"/>
          <w:color w:val="000000" w:themeColor="text1"/>
          <w:szCs w:val="21"/>
          <w:u w:val="none"/>
          <w14:textFill>
            <w14:solidFill>
              <w14:schemeClr w14:val="tx1"/>
            </w14:solidFill>
          </w14:textFill>
        </w:rPr>
        <w:t>超过</w:t>
      </w:r>
      <w:r>
        <w:rPr>
          <w:rFonts w:hint="eastAsia" w:ascii="宋体" w:hAnsi="宋体" w:eastAsia="宋体" w:cs="宋体"/>
          <w:color w:val="000000" w:themeColor="text1"/>
          <w:szCs w:val="21"/>
          <w:u w:val="none"/>
          <w:lang w:eastAsia="zh-CN"/>
          <w14:textFill>
            <w14:solidFill>
              <w14:schemeClr w14:val="tx1"/>
            </w14:solidFill>
          </w14:textFill>
        </w:rPr>
        <w:t>3次，超过</w:t>
      </w:r>
      <w:r>
        <w:rPr>
          <w:rFonts w:ascii="宋体" w:hAnsi="宋体" w:eastAsia="宋体" w:cs="宋体"/>
          <w:color w:val="000000" w:themeColor="text1"/>
          <w:szCs w:val="21"/>
          <w:u w:val="none"/>
          <w14:textFill>
            <w14:solidFill>
              <w14:schemeClr w14:val="tx1"/>
            </w14:solidFill>
          </w14:textFill>
        </w:rPr>
        <w:t>5次以上无故擅自缺席的，</w:t>
      </w:r>
      <w:r>
        <w:rPr>
          <w:rFonts w:hint="eastAsia" w:ascii="宋体" w:hAnsi="宋体" w:eastAsia="宋体" w:cs="宋体"/>
          <w:color w:val="000000" w:themeColor="text1"/>
          <w:szCs w:val="21"/>
          <w:u w:val="none"/>
          <w14:textFill>
            <w14:solidFill>
              <w14:schemeClr w14:val="tx1"/>
            </w14:solidFill>
          </w14:textFill>
        </w:rPr>
        <w:t>发包人</w:t>
      </w:r>
      <w:r>
        <w:rPr>
          <w:rFonts w:ascii="宋体" w:hAnsi="宋体" w:eastAsia="宋体" w:cs="宋体"/>
          <w:color w:val="000000" w:themeColor="text1"/>
          <w:szCs w:val="21"/>
          <w:u w:val="none"/>
          <w14:textFill>
            <w14:solidFill>
              <w14:schemeClr w14:val="tx1"/>
            </w14:solidFill>
          </w14:textFill>
        </w:rPr>
        <w:t>有权单方</w:t>
      </w:r>
      <w:r>
        <w:rPr>
          <w:rFonts w:hint="eastAsia" w:ascii="宋体" w:hAnsi="宋体" w:eastAsia="宋体" w:cs="宋体"/>
          <w:color w:val="000000" w:themeColor="text1"/>
          <w:szCs w:val="21"/>
          <w:u w:val="none"/>
          <w14:textFill>
            <w14:solidFill>
              <w14:schemeClr w14:val="tx1"/>
            </w14:solidFill>
          </w14:textFill>
        </w:rPr>
        <w:t>终止</w:t>
      </w:r>
      <w:r>
        <w:rPr>
          <w:rFonts w:ascii="宋体" w:hAnsi="宋体" w:eastAsia="宋体" w:cs="宋体"/>
          <w:color w:val="000000" w:themeColor="text1"/>
          <w:szCs w:val="21"/>
          <w:u w:val="none"/>
          <w14:textFill>
            <w14:solidFill>
              <w14:schemeClr w14:val="tx1"/>
            </w14:solidFill>
          </w14:textFill>
        </w:rPr>
        <w:t>合同，并要求其承担相应的违约责任。</w:t>
      </w:r>
      <w:bookmarkEnd w:id="36"/>
    </w:p>
    <w:p w14:paraId="2D93808A">
      <w:pPr>
        <w:pStyle w:val="16"/>
        <w:tabs>
          <w:tab w:val="left" w:pos="0"/>
        </w:tabs>
        <w:spacing w:line="440" w:lineRule="exact"/>
        <w:ind w:firstLine="420" w:firstLineChars="200"/>
        <w:rPr>
          <w:rFonts w:hint="eastAsia" w:ascii="宋体" w:hAnsi="宋体" w:eastAsia="宋体" w:cs="宋体"/>
          <w:color w:val="000000" w:themeColor="text1"/>
          <w:szCs w:val="21"/>
          <w:lang w:val="en-US" w:eastAsia="zh-CN"/>
          <w14:textFill>
            <w14:solidFill>
              <w14:schemeClr w14:val="tx1"/>
            </w14:solidFill>
          </w14:textFill>
        </w:rPr>
      </w:pPr>
      <w:bookmarkStart w:id="37" w:name="auto_fouce_18"/>
      <w:r>
        <w:rPr>
          <w:rFonts w:hint="eastAsia" w:ascii="宋体" w:hAnsi="宋体" w:eastAsia="宋体" w:cs="宋体"/>
          <w:color w:val="000000" w:themeColor="text1"/>
          <w:szCs w:val="21"/>
          <w:lang w:val="en-US" w:eastAsia="zh-CN"/>
          <w14:textFill>
            <w14:solidFill>
              <w14:schemeClr w14:val="tx1"/>
            </w14:solidFill>
          </w14:textFill>
        </w:rPr>
        <w:t>19</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所有维护人员须保持手机畅通，以便有抢修任务时可及时调配人员。</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须合理安排用工，每位员工每周的工作时长、员工薪酬待遇等须符合劳动法等法律法规规定。若</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与其雇员产生劳动纠纷或其他不符合劳动法等法律法规规定的，一切责任由</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自行承担，给</w:t>
      </w:r>
      <w:r>
        <w:rPr>
          <w:rFonts w:hint="eastAsia" w:ascii="宋体" w:hAnsi="宋体" w:eastAsia="宋体" w:cs="宋体"/>
          <w:color w:val="000000" w:themeColor="text1"/>
          <w:szCs w:val="21"/>
          <w14:textFill>
            <w14:solidFill>
              <w14:schemeClr w14:val="tx1"/>
            </w14:solidFill>
          </w14:textFill>
        </w:rPr>
        <w:t>发包人造成</w:t>
      </w:r>
      <w:r>
        <w:rPr>
          <w:rFonts w:ascii="宋体" w:hAnsi="宋体" w:eastAsia="宋体" w:cs="宋体"/>
          <w:color w:val="000000" w:themeColor="text1"/>
          <w:szCs w:val="21"/>
          <w14:textFill>
            <w14:solidFill>
              <w14:schemeClr w14:val="tx1"/>
            </w14:solidFill>
          </w14:textFill>
        </w:rPr>
        <w:t>负面影响的，</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有权解除合同并追究</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的违约责任。</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应</w:t>
      </w:r>
      <w:r>
        <w:rPr>
          <w:rFonts w:hint="eastAsia" w:ascii="宋体" w:hAnsi="宋体" w:eastAsia="宋体" w:cs="宋体"/>
          <w:color w:val="000000" w:themeColor="text1"/>
          <w:szCs w:val="21"/>
          <w:lang w:eastAsia="zh-CN"/>
          <w14:textFill>
            <w14:solidFill>
              <w14:schemeClr w14:val="tx1"/>
            </w14:solidFill>
          </w14:textFill>
        </w:rPr>
        <w:t>合同签订后7天内</w:t>
      </w:r>
      <w:r>
        <w:rPr>
          <w:rFonts w:hint="eastAsia" w:ascii="宋体" w:hAnsi="宋体" w:eastAsia="宋体" w:cs="宋体"/>
          <w:color w:val="000000" w:themeColor="text1"/>
          <w:szCs w:val="21"/>
          <w14:textFill>
            <w14:solidFill>
              <w14:schemeClr w14:val="tx1"/>
            </w14:solidFill>
          </w14:textFill>
        </w:rPr>
        <w:t>为</w:t>
      </w:r>
      <w:r>
        <w:rPr>
          <w:rFonts w:ascii="宋体" w:hAnsi="宋体" w:eastAsia="宋体" w:cs="宋体"/>
          <w:color w:val="000000" w:themeColor="text1"/>
          <w:szCs w:val="21"/>
          <w14:textFill>
            <w14:solidFill>
              <w14:schemeClr w14:val="tx1"/>
            </w14:solidFill>
          </w14:textFill>
        </w:rPr>
        <w:t>本</w:t>
      </w:r>
      <w:r>
        <w:rPr>
          <w:rFonts w:hint="eastAsia" w:ascii="宋体" w:hAnsi="宋体" w:eastAsia="宋体" w:cs="宋体"/>
          <w:color w:val="000000" w:themeColor="text1"/>
          <w:szCs w:val="21"/>
          <w14:textFill>
            <w14:solidFill>
              <w14:schemeClr w14:val="tx1"/>
            </w14:solidFill>
          </w14:textFill>
        </w:rPr>
        <w:t>项目</w:t>
      </w:r>
      <w:r>
        <w:rPr>
          <w:rFonts w:ascii="宋体" w:hAnsi="宋体" w:eastAsia="宋体" w:cs="宋体"/>
          <w:color w:val="000000" w:themeColor="text1"/>
          <w:szCs w:val="21"/>
          <w14:textFill>
            <w14:solidFill>
              <w14:schemeClr w14:val="tx1"/>
            </w14:solidFill>
          </w14:textFill>
        </w:rPr>
        <w:t>所配备的作业人员每人购买</w:t>
      </w:r>
      <w:r>
        <w:rPr>
          <w:rFonts w:hint="eastAsia" w:ascii="宋体" w:hAnsi="宋体" w:eastAsia="宋体" w:cs="宋体"/>
          <w:color w:val="000000" w:themeColor="text1"/>
          <w:szCs w:val="21"/>
          <w14:textFill>
            <w14:solidFill>
              <w14:schemeClr w14:val="tx1"/>
            </w14:solidFill>
          </w14:textFill>
        </w:rPr>
        <w:t>人身意外险或雇主责任险，每次事故每人人身伤亡损失赔偿限额不低于</w:t>
      </w:r>
      <w:r>
        <w:rPr>
          <w:rFonts w:hint="eastAsia" w:ascii="宋体" w:hAnsi="宋体" w:eastAsia="宋体" w:cs="宋体"/>
          <w:color w:val="000000" w:themeColor="text1"/>
          <w:szCs w:val="21"/>
          <w:lang w:val="en-US" w:eastAsia="zh-CN"/>
          <w14:textFill>
            <w14:solidFill>
              <w14:schemeClr w14:val="tx1"/>
            </w14:solidFill>
          </w14:textFill>
        </w:rPr>
        <w:t>100</w:t>
      </w:r>
      <w:r>
        <w:rPr>
          <w:rFonts w:hint="eastAsia" w:ascii="宋体" w:hAnsi="宋体" w:eastAsia="宋体" w:cs="宋体"/>
          <w:color w:val="000000" w:themeColor="text1"/>
          <w:szCs w:val="21"/>
          <w14:textFill>
            <w14:solidFill>
              <w14:schemeClr w14:val="tx1"/>
            </w14:solidFill>
          </w14:textFill>
        </w:rPr>
        <w:t>万元</w:t>
      </w:r>
      <w:r>
        <w:rPr>
          <w:rFonts w:hint="eastAsia" w:ascii="宋体" w:hAnsi="宋体" w:eastAsia="宋体" w:cs="宋体"/>
          <w:color w:val="000000" w:themeColor="text1"/>
          <w:szCs w:val="21"/>
          <w:lang w:val="en-US" w:eastAsia="zh-CN"/>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此部分费用由</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自行负责</w:t>
      </w:r>
      <w:r>
        <w:rPr>
          <w:rFonts w:hint="eastAsia" w:ascii="宋体" w:hAnsi="宋体" w:eastAsia="宋体" w:cs="宋体"/>
          <w:color w:val="000000" w:themeColor="text1"/>
          <w:szCs w:val="21"/>
          <w14:textFill>
            <w14:solidFill>
              <w14:schemeClr w14:val="tx1"/>
            </w14:solidFill>
          </w14:textFill>
        </w:rPr>
        <w:t>，发包人不另行支付。</w:t>
      </w:r>
      <w:r>
        <w:rPr>
          <w:rFonts w:hint="eastAsia" w:ascii="宋体" w:hAnsi="宋体" w:eastAsia="宋体" w:cs="宋体"/>
          <w:color w:val="000000" w:themeColor="text1"/>
          <w:szCs w:val="21"/>
          <w:lang w:val="en-US" w:eastAsia="zh-CN"/>
          <w14:textFill>
            <w14:solidFill>
              <w14:schemeClr w14:val="tx1"/>
            </w14:solidFill>
          </w14:textFill>
        </w:rPr>
        <w:t xml:space="preserve">        </w:t>
      </w:r>
    </w:p>
    <w:p w14:paraId="511FD1E5">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lang w:val="en-US" w:eastAsia="zh-CN"/>
          <w14:textFill>
            <w14:solidFill>
              <w14:schemeClr w14:val="tx1"/>
            </w14:solidFill>
          </w14:textFill>
        </w:rPr>
        <w:t>0</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应与</w:t>
      </w:r>
      <w:r>
        <w:rPr>
          <w:rFonts w:hint="eastAsia" w:ascii="宋体" w:hAnsi="宋体" w:eastAsia="宋体" w:cs="宋体"/>
          <w:color w:val="000000" w:themeColor="text1"/>
          <w:szCs w:val="21"/>
          <w14:textFill>
            <w14:solidFill>
              <w14:schemeClr w14:val="tx1"/>
            </w14:solidFill>
          </w14:textFill>
        </w:rPr>
        <w:t>本合同</w:t>
      </w:r>
      <w:r>
        <w:rPr>
          <w:rFonts w:ascii="宋体" w:hAnsi="宋体" w:eastAsia="宋体" w:cs="宋体"/>
          <w:color w:val="000000" w:themeColor="text1"/>
          <w:szCs w:val="21"/>
          <w14:textFill>
            <w14:solidFill>
              <w14:schemeClr w14:val="tx1"/>
            </w14:solidFill>
          </w14:textFill>
        </w:rPr>
        <w:t>所配备的养护</w:t>
      </w:r>
      <w:r>
        <w:rPr>
          <w:rFonts w:hint="eastAsia" w:ascii="宋体" w:hAnsi="宋体" w:eastAsia="宋体" w:cs="宋体"/>
          <w:color w:val="000000" w:themeColor="text1"/>
          <w:szCs w:val="21"/>
          <w:lang w:eastAsia="zh-CN"/>
          <w14:textFill>
            <w14:solidFill>
              <w14:schemeClr w14:val="tx1"/>
            </w14:solidFill>
          </w14:textFill>
        </w:rPr>
        <w:t>作业</w:t>
      </w:r>
      <w:r>
        <w:rPr>
          <w:rFonts w:ascii="宋体" w:hAnsi="宋体" w:eastAsia="宋体" w:cs="宋体"/>
          <w:color w:val="000000" w:themeColor="text1"/>
          <w:szCs w:val="21"/>
          <w14:textFill>
            <w14:solidFill>
              <w14:schemeClr w14:val="tx1"/>
            </w14:solidFill>
          </w14:textFill>
        </w:rPr>
        <w:t>人员签订正式的劳动合同</w:t>
      </w:r>
      <w:r>
        <w:rPr>
          <w:rFonts w:hint="eastAsia" w:ascii="宋体" w:hAnsi="宋体" w:eastAsia="宋体" w:cs="宋体"/>
          <w:color w:val="000000" w:themeColor="text1"/>
          <w:szCs w:val="21"/>
          <w:lang w:eastAsia="zh-CN"/>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养护人员的工资、福利、社会保险、津贴、加班费、工伤事故处理及工伤待遇由</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负责支付。工作人员如对工资、福利、工作内容有所争议，由</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负责，与</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无关。</w:t>
      </w:r>
      <w:bookmarkEnd w:id="37"/>
    </w:p>
    <w:p w14:paraId="24C5B1CE">
      <w:pPr>
        <w:pStyle w:val="16"/>
        <w:tabs>
          <w:tab w:val="left" w:pos="0"/>
        </w:tabs>
        <w:spacing w:line="440" w:lineRule="exact"/>
        <w:ind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21、承包人需安排2名人员派至发包人办公点协助处理内业资料整理归档、E龙岩诉求件、数字城管案件和运管服平台的处置、回复等工作。人员须具备大专及以上学历，专业须为以下专业之一：土建类、汉语言文学类、文秘类等。该人员工资及需缴交的五险等费用由承包人承担，发包人不另行支付该项人员费用。该人员应服从发包人安排，坚守岗位，尽职尽责，圆满完成各项工作任务，不遵守发包人工作纪律或没有完成发包人交办的工作任务的每次处人民币200元违约金，</w:t>
      </w:r>
      <w:r>
        <w:rPr>
          <w:rFonts w:hint="eastAsia" w:ascii="宋体" w:hAnsi="宋体" w:eastAsia="宋体" w:cs="宋体"/>
          <w:bCs/>
          <w:color w:val="000000" w:themeColor="text1"/>
          <w:szCs w:val="21"/>
          <w:u w:val="none"/>
          <w14:textFill>
            <w14:solidFill>
              <w14:schemeClr w14:val="tx1"/>
            </w14:solidFill>
          </w14:textFill>
        </w:rPr>
        <w:t>违约金从当季工程款中直接扣除</w:t>
      </w:r>
      <w:r>
        <w:rPr>
          <w:rFonts w:hint="eastAsia" w:ascii="宋体" w:hAnsi="宋体" w:eastAsia="宋体" w:cs="宋体"/>
          <w:color w:val="000000" w:themeColor="text1"/>
          <w:szCs w:val="21"/>
          <w:lang w:val="en-US" w:eastAsia="zh-CN"/>
          <w14:textFill>
            <w14:solidFill>
              <w14:schemeClr w14:val="tx1"/>
            </w14:solidFill>
          </w14:textFill>
        </w:rPr>
        <w:t>。</w:t>
      </w:r>
    </w:p>
    <w:p w14:paraId="6B29A150">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22</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验收条件</w:t>
      </w:r>
    </w:p>
    <w:p w14:paraId="6FAAE56D">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将对养护过程中的日常巡查、施工现场管理、安全文明施工、质量控制、工程量验收等实行全面监督检查，并作为考核依据核拨</w:t>
      </w:r>
      <w:r>
        <w:rPr>
          <w:rFonts w:hint="eastAsia" w:ascii="宋体" w:hAnsi="宋体" w:eastAsia="宋体" w:cs="宋体"/>
          <w:color w:val="000000" w:themeColor="text1"/>
          <w:szCs w:val="21"/>
          <w14:textFill>
            <w14:solidFill>
              <w14:schemeClr w14:val="tx1"/>
            </w14:solidFill>
          </w14:textFill>
        </w:rPr>
        <w:t>工程</w:t>
      </w:r>
      <w:r>
        <w:rPr>
          <w:rFonts w:ascii="宋体" w:hAnsi="宋体" w:eastAsia="宋体" w:cs="宋体"/>
          <w:color w:val="000000" w:themeColor="text1"/>
          <w:szCs w:val="21"/>
          <w14:textFill>
            <w14:solidFill>
              <w14:schemeClr w14:val="tx1"/>
            </w14:solidFill>
          </w14:textFill>
        </w:rPr>
        <w:t>款。</w:t>
      </w:r>
    </w:p>
    <w:p w14:paraId="09BE2F35">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bookmarkStart w:id="38" w:name="auto_fouce_19"/>
      <w:r>
        <w:rPr>
          <w:rFonts w:hint="eastAsia"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lang w:val="en-US" w:eastAsia="zh-CN"/>
          <w14:textFill>
            <w14:solidFill>
              <w14:schemeClr w14:val="tx1"/>
            </w14:solidFill>
          </w14:textFill>
        </w:rPr>
        <w:t>2</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承包人</w:t>
      </w:r>
      <w:r>
        <w:rPr>
          <w:rFonts w:ascii="宋体" w:hAnsi="宋体" w:eastAsia="宋体" w:cs="宋体"/>
          <w:color w:val="000000" w:themeColor="text1"/>
          <w:szCs w:val="21"/>
          <w14:textFill>
            <w14:solidFill>
              <w14:schemeClr w14:val="tx1"/>
            </w14:solidFill>
          </w14:textFill>
        </w:rPr>
        <w:t>应按照</w:t>
      </w:r>
      <w:r>
        <w:rPr>
          <w:rFonts w:hint="eastAsia" w:ascii="宋体" w:hAnsi="宋体" w:eastAsia="宋体" w:cs="宋体"/>
          <w:color w:val="000000" w:themeColor="text1"/>
          <w:szCs w:val="21"/>
          <w14:textFill>
            <w14:solidFill>
              <w14:schemeClr w14:val="tx1"/>
            </w14:solidFill>
          </w14:textFill>
        </w:rPr>
        <w:t>《给水排水管道工程施工与质量验收规范》（CB50268-2008）《城镇道路养护技术规范》（CJJ36-2016）《城镇道路工程施工与质量验收规范》（CJJ-2008）</w:t>
      </w:r>
      <w:r>
        <w:rPr>
          <w:rFonts w:ascii="宋体" w:hAnsi="宋体" w:eastAsia="宋体" w:cs="宋体"/>
          <w:color w:val="000000" w:themeColor="text1"/>
          <w:szCs w:val="21"/>
          <w14:textFill>
            <w14:solidFill>
              <w14:schemeClr w14:val="tx1"/>
            </w14:solidFill>
          </w14:textFill>
        </w:rPr>
        <w:t>等规范要求</w:t>
      </w:r>
      <w:r>
        <w:rPr>
          <w:rFonts w:hint="eastAsia" w:ascii="宋体" w:hAnsi="宋体" w:eastAsia="宋体" w:cs="宋体"/>
          <w:color w:val="000000" w:themeColor="text1"/>
          <w:szCs w:val="21"/>
          <w14:textFill>
            <w14:solidFill>
              <w14:schemeClr w14:val="tx1"/>
            </w14:solidFill>
          </w14:textFill>
        </w:rPr>
        <w:t>养护</w:t>
      </w:r>
      <w:r>
        <w:rPr>
          <w:rFonts w:ascii="宋体" w:hAnsi="宋体" w:eastAsia="宋体" w:cs="宋体"/>
          <w:color w:val="000000" w:themeColor="text1"/>
          <w:szCs w:val="21"/>
          <w14:textFill>
            <w14:solidFill>
              <w14:schemeClr w14:val="tx1"/>
            </w14:solidFill>
          </w14:textFill>
        </w:rPr>
        <w:t>，随时接受</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的检查，</w:t>
      </w:r>
      <w:r>
        <w:rPr>
          <w:rFonts w:hint="eastAsia" w:ascii="宋体" w:hAnsi="宋体" w:eastAsia="宋体" w:cs="宋体"/>
          <w:color w:val="000000" w:themeColor="text1"/>
          <w:szCs w:val="21"/>
          <w14:textFill>
            <w14:solidFill>
              <w14:schemeClr w14:val="tx1"/>
            </w14:solidFill>
          </w14:textFill>
        </w:rPr>
        <w:t>并</w:t>
      </w:r>
      <w:r>
        <w:rPr>
          <w:rFonts w:ascii="宋体" w:hAnsi="宋体" w:eastAsia="宋体" w:cs="宋体"/>
          <w:color w:val="000000" w:themeColor="text1"/>
          <w:szCs w:val="21"/>
          <w14:textFill>
            <w14:solidFill>
              <w14:schemeClr w14:val="tx1"/>
            </w14:solidFill>
          </w14:textFill>
        </w:rPr>
        <w:t>为检查提供便利条件。如</w:t>
      </w:r>
      <w:r>
        <w:rPr>
          <w:rFonts w:hint="eastAsia" w:ascii="宋体" w:hAnsi="宋体" w:eastAsia="宋体" w:cs="宋体"/>
          <w:color w:val="000000" w:themeColor="text1"/>
          <w:szCs w:val="21"/>
          <w14:textFill>
            <w14:solidFill>
              <w14:schemeClr w14:val="tx1"/>
            </w14:solidFill>
          </w14:textFill>
        </w:rPr>
        <w:t>养护作业</w:t>
      </w:r>
      <w:r>
        <w:rPr>
          <w:rFonts w:ascii="宋体" w:hAnsi="宋体" w:eastAsia="宋体" w:cs="宋体"/>
          <w:color w:val="000000" w:themeColor="text1"/>
          <w:szCs w:val="21"/>
          <w14:textFill>
            <w14:solidFill>
              <w14:schemeClr w14:val="tx1"/>
            </w14:solidFill>
          </w14:textFill>
        </w:rPr>
        <w:t>与规范要求不相符，须按</w:t>
      </w:r>
      <w:r>
        <w:rPr>
          <w:rFonts w:hint="eastAsia" w:ascii="宋体" w:hAnsi="宋体" w:eastAsia="宋体" w:cs="宋体"/>
          <w:color w:val="000000" w:themeColor="text1"/>
          <w:szCs w:val="21"/>
          <w14:textFill>
            <w14:solidFill>
              <w14:schemeClr w14:val="tx1"/>
            </w14:solidFill>
          </w14:textFill>
        </w:rPr>
        <w:t>发包人</w:t>
      </w:r>
      <w:r>
        <w:rPr>
          <w:rFonts w:ascii="宋体" w:hAnsi="宋体" w:eastAsia="宋体" w:cs="宋体"/>
          <w:color w:val="000000" w:themeColor="text1"/>
          <w:szCs w:val="21"/>
          <w14:textFill>
            <w14:solidFill>
              <w14:schemeClr w14:val="tx1"/>
            </w14:solidFill>
          </w14:textFill>
        </w:rPr>
        <w:t>要求返工修改，</w:t>
      </w:r>
      <w:r>
        <w:rPr>
          <w:rFonts w:hint="eastAsia" w:ascii="宋体" w:hAnsi="宋体" w:eastAsia="宋体" w:cs="宋体"/>
          <w:color w:val="000000" w:themeColor="text1"/>
          <w:szCs w:val="21"/>
          <w:u w:val="none"/>
          <w:lang w:eastAsia="zh-CN"/>
          <w14:textFill>
            <w14:solidFill>
              <w14:schemeClr w14:val="tx1"/>
            </w14:solidFill>
          </w14:textFill>
        </w:rPr>
        <w:t>且同一质量问题返工不得超过两次，</w:t>
      </w:r>
      <w:r>
        <w:rPr>
          <w:rFonts w:ascii="宋体" w:hAnsi="宋体" w:eastAsia="宋体" w:cs="宋体"/>
          <w:color w:val="000000" w:themeColor="text1"/>
          <w:szCs w:val="21"/>
          <w14:textFill>
            <w14:solidFill>
              <w14:schemeClr w14:val="tx1"/>
            </w14:solidFill>
          </w14:textFill>
        </w:rPr>
        <w:t>并承担因自身原因导致</w:t>
      </w:r>
      <w:r>
        <w:rPr>
          <w:rFonts w:hint="eastAsia" w:ascii="宋体" w:hAnsi="宋体" w:eastAsia="宋体" w:cs="宋体"/>
          <w:color w:val="000000" w:themeColor="text1"/>
          <w:szCs w:val="21"/>
          <w14:textFill>
            <w14:solidFill>
              <w14:schemeClr w14:val="tx1"/>
            </w14:solidFill>
          </w14:textFill>
        </w:rPr>
        <w:t>的</w:t>
      </w:r>
      <w:r>
        <w:rPr>
          <w:rFonts w:ascii="宋体" w:hAnsi="宋体" w:eastAsia="宋体" w:cs="宋体"/>
          <w:color w:val="000000" w:themeColor="text1"/>
          <w:szCs w:val="21"/>
          <w14:textFill>
            <w14:solidFill>
              <w14:schemeClr w14:val="tx1"/>
            </w14:solidFill>
          </w14:textFill>
        </w:rPr>
        <w:t>返工、整改费用。</w:t>
      </w:r>
      <w:bookmarkEnd w:id="38"/>
    </w:p>
    <w:p w14:paraId="1E434C52">
      <w:pPr>
        <w:pStyle w:val="16"/>
        <w:tabs>
          <w:tab w:val="left" w:pos="0"/>
        </w:tabs>
        <w:spacing w:line="440" w:lineRule="exact"/>
        <w:ind w:firstLine="420" w:firstLineChars="200"/>
        <w:rPr>
          <w:rFonts w:ascii="宋体" w:hAnsi="宋体" w:eastAsia="宋体" w:cs="宋体"/>
          <w:color w:val="000000" w:themeColor="text1"/>
          <w:szCs w:val="21"/>
          <w:u w:val="none"/>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lang w:val="en-US" w:eastAsia="zh-CN"/>
          <w14:textFill>
            <w14:solidFill>
              <w14:schemeClr w14:val="tx1"/>
            </w14:solidFill>
          </w14:textFill>
        </w:rPr>
        <w:t>2</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承包人应按发包人</w:t>
      </w:r>
      <w:r>
        <w:rPr>
          <w:rFonts w:ascii="宋体" w:hAnsi="宋体" w:eastAsia="宋体" w:cs="宋体"/>
          <w:color w:val="000000" w:themeColor="text1"/>
          <w:szCs w:val="21"/>
          <w14:textFill>
            <w14:solidFill>
              <w14:schemeClr w14:val="tx1"/>
            </w14:solidFill>
          </w14:textFill>
        </w:rPr>
        <w:t>或有关部门提出的整改意见</w:t>
      </w:r>
      <w:r>
        <w:rPr>
          <w:rFonts w:hint="eastAsia" w:ascii="宋体" w:hAnsi="宋体" w:eastAsia="宋体" w:cs="宋体"/>
          <w:color w:val="000000" w:themeColor="text1"/>
          <w:szCs w:val="21"/>
          <w14:textFill>
            <w14:solidFill>
              <w14:schemeClr w14:val="tx1"/>
            </w14:solidFill>
          </w14:textFill>
        </w:rPr>
        <w:t>进行</w:t>
      </w:r>
      <w:r>
        <w:rPr>
          <w:rFonts w:ascii="宋体" w:hAnsi="宋体" w:eastAsia="宋体" w:cs="宋体"/>
          <w:color w:val="000000" w:themeColor="text1"/>
          <w:szCs w:val="21"/>
          <w14:textFill>
            <w14:solidFill>
              <w14:schemeClr w14:val="tx1"/>
            </w14:solidFill>
          </w14:textFill>
        </w:rPr>
        <w:t>整改，并承担</w:t>
      </w:r>
      <w:r>
        <w:rPr>
          <w:rFonts w:hint="eastAsia" w:ascii="宋体" w:hAnsi="宋体" w:eastAsia="宋体" w:cs="宋体"/>
          <w:color w:val="000000" w:themeColor="text1"/>
          <w:szCs w:val="21"/>
          <w14:textFill>
            <w14:solidFill>
              <w14:schemeClr w14:val="tx1"/>
            </w14:solidFill>
          </w14:textFill>
        </w:rPr>
        <w:t>因</w:t>
      </w:r>
      <w:r>
        <w:rPr>
          <w:rFonts w:ascii="宋体" w:hAnsi="宋体" w:eastAsia="宋体" w:cs="宋体"/>
          <w:color w:val="000000" w:themeColor="text1"/>
          <w:szCs w:val="21"/>
          <w14:textFill>
            <w14:solidFill>
              <w14:schemeClr w14:val="tx1"/>
            </w14:solidFill>
          </w14:textFill>
        </w:rPr>
        <w:t>自身原因造成</w:t>
      </w:r>
      <w:r>
        <w:rPr>
          <w:rFonts w:hint="eastAsia" w:ascii="宋体" w:hAnsi="宋体" w:eastAsia="宋体" w:cs="宋体"/>
          <w:color w:val="000000" w:themeColor="text1"/>
          <w:szCs w:val="21"/>
          <w14:textFill>
            <w14:solidFill>
              <w14:schemeClr w14:val="tx1"/>
            </w14:solidFill>
          </w14:textFill>
        </w:rPr>
        <w:t>的</w:t>
      </w:r>
      <w:r>
        <w:rPr>
          <w:rFonts w:ascii="宋体" w:hAnsi="宋体" w:eastAsia="宋体" w:cs="宋体"/>
          <w:color w:val="000000" w:themeColor="text1"/>
          <w:szCs w:val="21"/>
          <w14:textFill>
            <w14:solidFill>
              <w14:schemeClr w14:val="tx1"/>
            </w14:solidFill>
          </w14:textFill>
        </w:rPr>
        <w:t>整改费用。</w:t>
      </w:r>
      <w:bookmarkStart w:id="39" w:name="auto_fouce_20"/>
      <w:r>
        <w:rPr>
          <w:rFonts w:hint="eastAsia" w:ascii="宋体" w:hAnsi="宋体" w:eastAsia="宋体" w:cs="宋体"/>
          <w:color w:val="000000" w:themeColor="text1"/>
          <w:szCs w:val="21"/>
          <w:u w:val="none"/>
          <w:lang w:eastAsia="zh-CN"/>
          <w14:textFill>
            <w14:solidFill>
              <w14:schemeClr w14:val="tx1"/>
            </w14:solidFill>
          </w14:textFill>
        </w:rPr>
        <w:t>发包人对工程质量拥有最终验收权，并有权根据自身判断单方认定验收结果。如工程未达到合同及规范要求，发包人有权拒绝验收并要求承包人无条件配合整改，直至发包人验收合格为止，承包人不得以任何理由拒绝整改或主张验收合格。</w:t>
      </w:r>
      <w:bookmarkEnd w:id="39"/>
    </w:p>
    <w:p w14:paraId="70D0863A">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五、违约条款</w:t>
      </w:r>
    </w:p>
    <w:p w14:paraId="102017D2">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1、依据                 </w:t>
      </w:r>
    </w:p>
    <w:p w14:paraId="34A5A24F">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1.1《给水排水管道工程施工与质量验收规范》（CB50268-2008）《城镇道路养护技术规范》（CJJ36-2016）《城镇道路工程施工与质量验收规范》（CJJ-2008）等现行国家及部委颁发的技术规范标准等；</w:t>
      </w:r>
    </w:p>
    <w:p w14:paraId="6512B394">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1.2省、市建设行政主管部门的有关文件；</w:t>
      </w:r>
    </w:p>
    <w:p w14:paraId="7991B039">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1.3施工图设计文件（若有）。</w:t>
      </w:r>
    </w:p>
    <w:p w14:paraId="10E7653B">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2、程序</w:t>
      </w:r>
    </w:p>
    <w:p w14:paraId="61862EE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发包人在日常工作和巡查、督察（检查）中，发现承包人有违约事件时，按以下程序处理：</w:t>
      </w:r>
    </w:p>
    <w:p w14:paraId="3B4564F5">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2.1现场调查、了解事件情况，并进行影像取证，承包人对事件进行确认，项目监理单位现场参与确认。</w:t>
      </w:r>
    </w:p>
    <w:p w14:paraId="534C95A0">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2.2首次违约采取口头警告方式，要求承包人限期整改。经复查已按要求整改完毕的，可不追究违约责任。</w:t>
      </w:r>
    </w:p>
    <w:p w14:paraId="7EAD61AD">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2.3限期未整改的开具《整改通知单》，并按相关条款追究违约责任。</w:t>
      </w:r>
    </w:p>
    <w:p w14:paraId="2D85A408">
      <w:pPr>
        <w:pStyle w:val="16"/>
        <w:tabs>
          <w:tab w:val="left" w:pos="0"/>
        </w:tabs>
        <w:spacing w:line="440" w:lineRule="exact"/>
        <w:ind w:firstLine="420" w:firstLineChars="200"/>
        <w:rPr>
          <w:rFonts w:ascii="宋体" w:hAnsi="宋体" w:eastAsia="宋体" w:cs="宋体"/>
          <w:color w:val="000000" w:themeColor="text1"/>
          <w:szCs w:val="21"/>
          <w:u w:val="none"/>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2.4《整改通知单》要求期限届满后，经复查仍未按要求整改到位或无故拖延未实施整改的，处以双倍违约金。再次复查，仍未整改的，发包人有权单方解除合同，并要求承包人承担相应的违约责任。</w:t>
      </w:r>
      <w:bookmarkStart w:id="40" w:name="auto_fouce_21"/>
      <w:r>
        <w:rPr>
          <w:rFonts w:hint="eastAsia" w:ascii="宋体" w:hAnsi="宋体" w:eastAsia="宋体" w:cs="宋体"/>
          <w:color w:val="000000" w:themeColor="text1"/>
          <w:szCs w:val="21"/>
          <w:u w:val="none"/>
          <w:lang w:eastAsia="zh-CN"/>
          <w14:textFill>
            <w14:solidFill>
              <w14:schemeClr w14:val="tx1"/>
            </w14:solidFill>
          </w14:textFill>
        </w:rPr>
        <w:t>如承包人存在分包、转包、重大安全事故、连续违约、影响市政安全等重大违约情形，发包人有权单方解除合同，并追究承包人全部损失，违约金不影响发包人追究实际损失的权利。</w:t>
      </w:r>
      <w:bookmarkEnd w:id="40"/>
    </w:p>
    <w:p w14:paraId="29002CFB">
      <w:pPr>
        <w:pStyle w:val="16"/>
        <w:tabs>
          <w:tab w:val="left" w:pos="0"/>
        </w:tabs>
        <w:spacing w:line="440" w:lineRule="exact"/>
        <w:ind w:firstLine="420" w:firstLineChars="200"/>
        <w:rPr>
          <w:rFonts w:ascii="宋体" w:hAnsi="宋体" w:eastAsia="宋体" w:cs="宋体"/>
          <w:bCs/>
          <w:color w:val="000000" w:themeColor="text1"/>
          <w:szCs w:val="21"/>
          <w:u w:val="non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2.5发包人每季度审核计量支付时，应将当季度违约金额进行汇总，</w:t>
      </w:r>
      <w:r>
        <w:rPr>
          <w:rFonts w:hint="eastAsia" w:ascii="宋体" w:hAnsi="宋体" w:eastAsia="宋体" w:cs="宋体"/>
          <w:color w:val="000000" w:themeColor="text1"/>
          <w:szCs w:val="21"/>
          <w:u w:val="none"/>
          <w14:textFill>
            <w14:solidFill>
              <w14:schemeClr w14:val="tx1"/>
            </w14:solidFill>
          </w14:textFill>
        </w:rPr>
        <w:t>并</w:t>
      </w:r>
      <w:r>
        <w:rPr>
          <w:rFonts w:hint="eastAsia" w:ascii="宋体" w:hAnsi="宋体" w:eastAsia="宋体" w:cs="宋体"/>
          <w:bCs/>
          <w:color w:val="000000" w:themeColor="text1"/>
          <w:szCs w:val="21"/>
          <w:u w:val="none"/>
          <w14:textFill>
            <w14:solidFill>
              <w14:schemeClr w14:val="tx1"/>
            </w14:solidFill>
          </w14:textFill>
        </w:rPr>
        <w:t>从当季工程款中直接</w:t>
      </w:r>
      <w:r>
        <w:rPr>
          <w:rFonts w:hint="eastAsia" w:ascii="宋体" w:hAnsi="宋体" w:eastAsia="宋体" w:cs="宋体"/>
          <w:bCs/>
          <w:color w:val="000000" w:themeColor="text1"/>
          <w:szCs w:val="21"/>
          <w:u w:val="none"/>
          <w:lang w:eastAsia="zh-CN"/>
          <w14:textFill>
            <w14:solidFill>
              <w14:schemeClr w14:val="tx1"/>
            </w14:solidFill>
          </w14:textFill>
        </w:rPr>
        <w:t>扣除。</w:t>
      </w:r>
    </w:p>
    <w:p w14:paraId="1D3FE3C4">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3.违约责任</w:t>
      </w:r>
    </w:p>
    <w:p w14:paraId="4FE62D53">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3.1日常巡查</w:t>
      </w:r>
    </w:p>
    <w:p w14:paraId="3F58914E">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（1）未按照发包人要求进行巡查的，每发现1次处以人民币500元违约金。台风暴雨等恶劣天气期间，未落实24小时值班制度、养护单位主要人员未轮流带班、养护班组未安排人员上路巡査处置的，</w:t>
      </w:r>
      <w:r>
        <w:rPr>
          <w:rFonts w:hint="eastAsia" w:ascii="宋体" w:hAnsi="宋体" w:eastAsia="宋体" w:cs="宋体"/>
          <w:color w:val="000000" w:themeColor="text1"/>
          <w:szCs w:val="21"/>
          <w:lang w:val="en-US" w:eastAsia="zh-CN"/>
          <w14:textFill>
            <w14:solidFill>
              <w14:schemeClr w14:val="tx1"/>
            </w14:solidFill>
          </w14:textFill>
        </w:rPr>
        <w:t>人员数量未按照合同约定配备的，每少1人</w:t>
      </w:r>
      <w:r>
        <w:rPr>
          <w:rFonts w:hint="eastAsia" w:ascii="宋体" w:hAnsi="宋体" w:eastAsia="宋体" w:cs="宋体"/>
          <w:color w:val="000000" w:themeColor="text1"/>
          <w:szCs w:val="21"/>
          <w14:textFill>
            <w14:solidFill>
              <w14:schemeClr w14:val="tx1"/>
            </w14:solidFill>
          </w14:textFill>
        </w:rPr>
        <w:t>处以人民币500元违约金。</w:t>
      </w:r>
    </w:p>
    <w:p w14:paraId="174DC99E">
      <w:pPr>
        <w:pStyle w:val="16"/>
        <w:tabs>
          <w:tab w:val="left" w:pos="0"/>
        </w:tabs>
        <w:spacing w:line="440" w:lineRule="exact"/>
        <w:ind w:firstLine="420" w:firstLineChars="200"/>
        <w:rPr>
          <w:rFonts w:ascii="宋体" w:hAnsi="宋体" w:eastAsia="宋体" w:cs="宋体"/>
          <w:color w:val="000000" w:themeColor="text1"/>
          <w:szCs w:val="21"/>
          <w:u w:val="none"/>
          <w14:textFill>
            <w14:solidFill>
              <w14:schemeClr w14:val="tx1"/>
            </w14:solidFill>
          </w14:textFill>
        </w:rPr>
      </w:pPr>
      <w:bookmarkStart w:id="41" w:name="auto_fouce_22"/>
      <w:r>
        <w:rPr>
          <w:rFonts w:hint="eastAsia" w:ascii="宋体" w:hAnsi="宋体" w:eastAsia="宋体" w:cs="宋体"/>
          <w:color w:val="000000" w:themeColor="text1"/>
          <w:szCs w:val="21"/>
          <w:u w:val="none"/>
          <w14:textFill>
            <w14:solidFill>
              <w14:schemeClr w14:val="tx1"/>
            </w14:solidFill>
          </w14:textFill>
        </w:rPr>
        <w:t>（2）未及时、合理、分类上报需处理问题，上报材料混乱、图像模糊、信息不明确的，</w:t>
      </w:r>
      <w:r>
        <w:rPr>
          <w:rFonts w:hint="eastAsia" w:ascii="宋体" w:hAnsi="宋体" w:eastAsia="宋体" w:cs="宋体"/>
          <w:color w:val="000000" w:themeColor="text1"/>
          <w:szCs w:val="21"/>
          <w:u w:val="none"/>
          <w:lang w:eastAsia="zh-CN"/>
          <w14:textFill>
            <w14:solidFill>
              <w14:schemeClr w14:val="tx1"/>
            </w14:solidFill>
          </w14:textFill>
        </w:rPr>
        <w:t>首</w:t>
      </w:r>
      <w:r>
        <w:rPr>
          <w:rFonts w:hint="eastAsia" w:ascii="宋体" w:hAnsi="宋体" w:eastAsia="宋体" w:cs="宋体"/>
          <w:color w:val="000000" w:themeColor="text1"/>
          <w:szCs w:val="21"/>
          <w:u w:val="none"/>
          <w14:textFill>
            <w14:solidFill>
              <w14:schemeClr w14:val="tx1"/>
            </w14:solidFill>
          </w14:textFill>
        </w:rPr>
        <w:t>次</w:t>
      </w:r>
      <w:r>
        <w:rPr>
          <w:rFonts w:hint="eastAsia" w:ascii="宋体" w:hAnsi="宋体" w:eastAsia="宋体" w:cs="宋体"/>
          <w:color w:val="000000" w:themeColor="text1"/>
          <w:szCs w:val="21"/>
          <w:u w:val="none"/>
          <w:lang w:eastAsia="zh-CN"/>
          <w14:textFill>
            <w14:solidFill>
              <w14:schemeClr w14:val="tx1"/>
            </w14:solidFill>
          </w14:textFill>
        </w:rPr>
        <w:t>整改不到位</w:t>
      </w:r>
      <w:r>
        <w:rPr>
          <w:rFonts w:hint="eastAsia" w:ascii="宋体" w:hAnsi="宋体" w:eastAsia="宋体" w:cs="宋体"/>
          <w:color w:val="000000" w:themeColor="text1"/>
          <w:szCs w:val="21"/>
          <w:u w:val="none"/>
          <w14:textFill>
            <w14:solidFill>
              <w14:schemeClr w14:val="tx1"/>
            </w14:solidFill>
          </w14:textFill>
        </w:rPr>
        <w:t>处人民币200元违约金</w:t>
      </w:r>
      <w:r>
        <w:rPr>
          <w:rFonts w:hint="eastAsia" w:ascii="宋体" w:hAnsi="宋体" w:eastAsia="宋体" w:cs="宋体"/>
          <w:color w:val="000000" w:themeColor="text1"/>
          <w:szCs w:val="21"/>
          <w:u w:val="none"/>
          <w:lang w:eastAsia="zh-CN"/>
          <w14:textFill>
            <w14:solidFill>
              <w14:schemeClr w14:val="tx1"/>
            </w14:solidFill>
          </w14:textFill>
        </w:rPr>
        <w:t>，同一问题重复发生按次加倍处罚</w:t>
      </w:r>
      <w:r>
        <w:rPr>
          <w:rFonts w:hint="eastAsia" w:ascii="宋体" w:hAnsi="宋体" w:eastAsia="宋体" w:cs="宋体"/>
          <w:color w:val="000000" w:themeColor="text1"/>
          <w:szCs w:val="21"/>
          <w:u w:val="none"/>
          <w14:textFill>
            <w14:solidFill>
              <w14:schemeClr w14:val="tx1"/>
            </w14:solidFill>
          </w14:textFill>
        </w:rPr>
        <w:t>。</w:t>
      </w:r>
      <w:bookmarkEnd w:id="41"/>
    </w:p>
    <w:p w14:paraId="13E054B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3.2人员管理，安全、文明施工</w:t>
      </w:r>
    </w:p>
    <w:p w14:paraId="5FD6BB64">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（1）承包人未按发包人要求配置相应数量作业人员、管理人员、</w:t>
      </w:r>
      <w:r>
        <w:rPr>
          <w:rFonts w:hint="eastAsia" w:ascii="宋体" w:hAnsi="宋体" w:eastAsia="宋体" w:cs="宋体"/>
          <w:color w:val="000000" w:themeColor="text1"/>
          <w:szCs w:val="21"/>
          <w:lang w:eastAsia="zh-CN"/>
          <w14:textFill>
            <w14:solidFill>
              <w14:schemeClr w14:val="tx1"/>
            </w14:solidFill>
          </w14:textFill>
        </w:rPr>
        <w:t>相应辅材、</w:t>
      </w:r>
      <w:r>
        <w:rPr>
          <w:rFonts w:hint="eastAsia" w:ascii="宋体" w:hAnsi="宋体" w:eastAsia="宋体" w:cs="宋体"/>
          <w:color w:val="000000" w:themeColor="text1"/>
          <w:szCs w:val="21"/>
          <w14:textFill>
            <w14:solidFill>
              <w14:schemeClr w14:val="tx1"/>
            </w14:solidFill>
          </w14:textFill>
        </w:rPr>
        <w:t>作业车辆及巡查车辆，每少一人次处以人民币100元违约金，</w:t>
      </w:r>
      <w:r>
        <w:rPr>
          <w:rFonts w:hint="eastAsia" w:ascii="宋体" w:hAnsi="宋体" w:eastAsia="宋体" w:cs="宋体"/>
          <w:color w:val="000000" w:themeColor="text1"/>
          <w:szCs w:val="21"/>
          <w:lang w:eastAsia="zh-CN"/>
          <w14:textFill>
            <w14:solidFill>
              <w14:schemeClr w14:val="tx1"/>
            </w14:solidFill>
          </w14:textFill>
        </w:rPr>
        <w:t>每少一个（块）处以人民币</w:t>
      </w:r>
      <w:r>
        <w:rPr>
          <w:rFonts w:hint="eastAsia" w:ascii="宋体" w:hAnsi="宋体" w:eastAsia="宋体" w:cs="宋体"/>
          <w:color w:val="000000" w:themeColor="text1"/>
          <w:szCs w:val="21"/>
          <w:lang w:val="en-US" w:eastAsia="zh-CN"/>
          <w14:textFill>
            <w14:solidFill>
              <w14:schemeClr w14:val="tx1"/>
            </w14:solidFill>
          </w14:textFill>
        </w:rPr>
        <w:t>100元违约金，</w:t>
      </w:r>
      <w:r>
        <w:rPr>
          <w:rFonts w:hint="eastAsia" w:ascii="宋体" w:hAnsi="宋体" w:eastAsia="宋体" w:cs="宋体"/>
          <w:color w:val="000000" w:themeColor="text1"/>
          <w:szCs w:val="21"/>
          <w14:textFill>
            <w14:solidFill>
              <w14:schemeClr w14:val="tx1"/>
            </w14:solidFill>
          </w14:textFill>
        </w:rPr>
        <w:t>每少一辆次处以人民币500元违约金。</w:t>
      </w:r>
    </w:p>
    <w:p w14:paraId="389DED39">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（2）进入施工现场未配戴安全帽、穿工作服，着装不规范，每发现1人次处以人民币100元违约金。</w:t>
      </w:r>
    </w:p>
    <w:p w14:paraId="7AFBC14C">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（3）施工和维护作业时未设置或未按规范设置警示标志、安全防护设施等，每发现1处处以人民币500元违约金。</w:t>
      </w:r>
    </w:p>
    <w:p w14:paraId="708DDED8">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标志标牌、立柱、反光膜质量应符合有关规范要求，安装完成后标志牌板应无任何裂纹、划痕、颜色不均匀等表面缺陷，金属构件镀锌面不得有划痕、擦伤等损伤，未按规定的每发现1处处以人民币100元违约金。</w:t>
      </w:r>
    </w:p>
    <w:p w14:paraId="4822ED10">
      <w:pPr>
        <w:pStyle w:val="16"/>
        <w:tabs>
          <w:tab w:val="left" w:pos="0"/>
        </w:tabs>
        <w:spacing w:line="440" w:lineRule="exact"/>
        <w:ind w:firstLine="420" w:firstLineChars="200"/>
        <w:rPr>
          <w:rFonts w:ascii="宋体" w:hAnsi="宋体" w:eastAsia="宋体" w:cs="宋体"/>
          <w:color w:val="000000" w:themeColor="text1"/>
          <w:szCs w:val="21"/>
          <w:u w:val="none"/>
          <w14:textFill>
            <w14:solidFill>
              <w14:schemeClr w14:val="tx1"/>
            </w14:solidFill>
          </w14:textFill>
        </w:rPr>
      </w:pPr>
      <w:bookmarkStart w:id="42" w:name="auto_fouce_23"/>
      <w:r>
        <w:rPr>
          <w:rFonts w:hint="eastAsia" w:ascii="宋体" w:hAnsi="宋体" w:eastAsia="宋体" w:cs="宋体"/>
          <w:color w:val="000000" w:themeColor="text1"/>
          <w:szCs w:val="21"/>
          <w:u w:val="none"/>
          <w14:textFill>
            <w14:solidFill>
              <w14:schemeClr w14:val="tx1"/>
            </w14:solidFill>
          </w14:textFill>
        </w:rPr>
        <w:t>（5）施工和维护作业时未做好扬尘控制措施的，被</w:t>
      </w:r>
      <w:r>
        <w:rPr>
          <w:rFonts w:hint="eastAsia" w:ascii="宋体" w:hAnsi="宋体" w:eastAsia="宋体" w:cs="宋体"/>
          <w:color w:val="000000" w:themeColor="text1"/>
          <w:szCs w:val="21"/>
          <w:u w:val="none"/>
          <w:lang w:eastAsia="zh-CN"/>
          <w14:textFill>
            <w14:solidFill>
              <w14:schemeClr w14:val="tx1"/>
            </w14:solidFill>
          </w14:textFill>
        </w:rPr>
        <w:t>有权监管部门书面认定的有效</w:t>
      </w:r>
      <w:r>
        <w:rPr>
          <w:rFonts w:hint="eastAsia" w:ascii="宋体" w:hAnsi="宋体" w:eastAsia="宋体" w:cs="宋体"/>
          <w:color w:val="000000" w:themeColor="text1"/>
          <w:szCs w:val="21"/>
          <w:u w:val="none"/>
          <w14:textFill>
            <w14:solidFill>
              <w14:schemeClr w14:val="tx1"/>
            </w14:solidFill>
          </w14:textFill>
        </w:rPr>
        <w:t>投诉或每发现1次处以人民币500元违约金。</w:t>
      </w:r>
      <w:bookmarkEnd w:id="42"/>
    </w:p>
    <w:p w14:paraId="4C3292EE">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（6）严禁在人行道、车行道上拌制砂浆或砼，每发现1次处以人民币500元违约金。</w:t>
      </w:r>
    </w:p>
    <w:p w14:paraId="52DF5439">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（7）其他未按照安全、文明施工规范要求进行施工的，每发现1次处以人民币200元违约金。</w:t>
      </w:r>
    </w:p>
    <w:p w14:paraId="3B3E98D0">
      <w:pPr>
        <w:pStyle w:val="16"/>
        <w:tabs>
          <w:tab w:val="left" w:pos="0"/>
        </w:tabs>
        <w:spacing w:line="440" w:lineRule="exact"/>
        <w:ind w:firstLine="420" w:firstLineChars="200"/>
        <w:rPr>
          <w:rFonts w:ascii="宋体" w:hAnsi="宋体" w:eastAsia="宋体" w:cs="宋体"/>
          <w:color w:val="000000" w:themeColor="text1"/>
          <w:szCs w:val="21"/>
          <w:u w:val="none"/>
          <w:lang w:eastAsia="zh-CN"/>
          <w14:textFill>
            <w14:solidFill>
              <w14:schemeClr w14:val="tx1"/>
            </w14:solidFill>
          </w14:textFill>
        </w:rPr>
      </w:pPr>
      <w:bookmarkStart w:id="43" w:name="auto_fouce_24"/>
      <w:r>
        <w:rPr>
          <w:rFonts w:hint="eastAsia" w:ascii="宋体" w:hAnsi="宋体" w:eastAsia="宋体" w:cs="宋体"/>
          <w:color w:val="000000" w:themeColor="text1"/>
          <w:szCs w:val="21"/>
          <w14:textFill>
            <w14:solidFill>
              <w14:schemeClr w14:val="tx1"/>
            </w14:solidFill>
          </w14:textFill>
        </w:rPr>
        <w:t>（8）承包人应每月向发包人提供项目负责人、项目技术负责人的社保证明，项目负责人、项目技术负责人每月不少于4次到发包人处签到并到现场履职。第一次未按发包人要求到位履职的，处以人民币1000元违约金；第二次未按发包人要求到位履职的，处以人民币10000元违约金；第三次未按发包人要求到位履职的，发包人有权单方面终止合同，相关责任损失均由承包人承担。</w:t>
      </w:r>
      <w:r>
        <w:rPr>
          <w:rFonts w:hint="eastAsia" w:ascii="宋体" w:hAnsi="宋体" w:eastAsia="宋体" w:cs="宋体"/>
          <w:color w:val="000000" w:themeColor="text1"/>
          <w:szCs w:val="21"/>
          <w:u w:val="none"/>
          <w:lang w:eastAsia="zh-CN"/>
          <w14:textFill>
            <w14:solidFill>
              <w14:schemeClr w14:val="tx1"/>
            </w14:solidFill>
          </w14:textFill>
        </w:rPr>
        <w:t>项目负责人因不可抗力或突发公共卫生事件无法到场的，应于24小时内提交书面说明及补救方案，经发包人同意后可不予处罚。</w:t>
      </w:r>
      <w:bookmarkEnd w:id="43"/>
    </w:p>
    <w:p w14:paraId="1F492591">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3.3原材料</w:t>
      </w:r>
    </w:p>
    <w:p w14:paraId="4B9F4476">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（1）使用不合格（包含且不限于材料的厚度、强度不符合要求）材料（如钢材、水泥、人行道砖、井盖、雨水篦、雨水管等），每发现1次处以人民币1000元违约金。</w:t>
      </w:r>
    </w:p>
    <w:p w14:paraId="0475936B">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（2）未按施工图或发包人要求材料施工的每次处以人民币1000元的违约金。</w:t>
      </w:r>
    </w:p>
    <w:p w14:paraId="4F552EA9">
      <w:pPr>
        <w:pStyle w:val="16"/>
        <w:tabs>
          <w:tab w:val="left" w:pos="0"/>
        </w:tabs>
        <w:spacing w:line="440" w:lineRule="exact"/>
        <w:ind w:firstLine="420" w:firstLineChars="20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（3）其它原材料质量问题，根据造成质量隐患轻重程度，每次处以人民币2000元的违约金。</w:t>
      </w:r>
      <w:bookmarkStart w:id="44" w:name="auto_fouce_25"/>
    </w:p>
    <w:p w14:paraId="062FE5DB">
      <w:pPr>
        <w:pStyle w:val="16"/>
        <w:tabs>
          <w:tab w:val="left" w:pos="0"/>
        </w:tabs>
        <w:spacing w:line="440" w:lineRule="exact"/>
        <w:ind w:firstLine="0" w:firstLineChars="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发现不合格材料后，承包人应在48小时内完成更换。逾期未更换的，发包人有权委托第三方更换，相关费用由承包人承担。</w:t>
      </w:r>
      <w:bookmarkEnd w:id="44"/>
    </w:p>
    <w:p w14:paraId="68F3411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（4）承包人应每季度向发包人所委托监理单位申请施工材料报验，并提供相应出厂合格证（若有），未进行施工材料报验的，每次处以人民币1000元违约金。</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5）发包人将根据每季度沥青、水泥混凝土路面修复情况，委托有相应资质的第三方检测机构对沥青、水泥混凝土路面进行随机抽样检测，经检测若结果未达到发包人要求的每处处以人民币2000元违约金，并按实际检测结果进行计价，若无法达到使用要求，承包人应进行返工处理，费用由承包人承担</w:t>
      </w:r>
    </w:p>
    <w:p w14:paraId="069DAEA3">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3.4维护质量</w:t>
      </w:r>
    </w:p>
    <w:p w14:paraId="00AE097A">
      <w:pPr>
        <w:pStyle w:val="16"/>
        <w:tabs>
          <w:tab w:val="left" w:pos="0"/>
        </w:tabs>
        <w:spacing w:line="440" w:lineRule="exact"/>
        <w:ind w:firstLine="420" w:firstLineChars="20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包人应按照《给水排水管道工程施工与质量验收规范》（CB50268-2008）《城镇道路养护技术规范》（CJJ36-2016）《城镇道路工程施工与质量验收规范》（CJJ-2008）等相关技术规范进行维护作业，未按相关技术规范进行作业的，每发现一处处以人民币1000元违约金。</w:t>
      </w:r>
      <w:bookmarkStart w:id="45" w:name="auto_fouce_26"/>
    </w:p>
    <w:bookmarkEnd w:id="45"/>
    <w:p w14:paraId="69D566F3">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3.5管沟回填</w:t>
      </w:r>
    </w:p>
    <w:p w14:paraId="6697013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bookmarkStart w:id="46" w:name="auto_fouce_27"/>
      <w:r>
        <w:rPr>
          <w:rFonts w:hint="eastAsia" w:ascii="宋体" w:hAnsi="宋体" w:eastAsia="宋体" w:cs="宋体"/>
          <w:color w:val="000000" w:themeColor="text1"/>
          <w:szCs w:val="21"/>
          <w14:textFill>
            <w14:solidFill>
              <w14:schemeClr w14:val="tx1"/>
            </w14:solidFill>
          </w14:textFill>
        </w:rPr>
        <w:t>严禁使用淤泥、沼泽土、泥炭土、有机土或生活垃圾、建筑垃圾土等对沟槽进行回填，沟槽回填应密实，并符合相关规范技术要求。路面应按不低于原设计标准或发包人要求进行恢复。</w:t>
      </w:r>
      <w:r>
        <w:rPr>
          <w:rFonts w:hint="eastAsia" w:ascii="宋体" w:hAnsi="宋体" w:eastAsia="宋体" w:cs="宋体"/>
          <w:color w:val="000000" w:themeColor="text1"/>
          <w:szCs w:val="21"/>
          <w:lang w:eastAsia="zh-CN"/>
          <w14:textFill>
            <w14:solidFill>
              <w14:schemeClr w14:val="tx1"/>
            </w14:solidFill>
          </w14:textFill>
        </w:rPr>
        <w:t>未按规定的</w:t>
      </w:r>
      <w:r>
        <w:rPr>
          <w:rFonts w:hint="eastAsia" w:ascii="宋体" w:hAnsi="宋体" w:eastAsia="宋体" w:cs="宋体"/>
          <w:color w:val="000000" w:themeColor="text1"/>
          <w:szCs w:val="21"/>
          <w14:textFill>
            <w14:solidFill>
              <w14:schemeClr w14:val="tx1"/>
            </w14:solidFill>
          </w14:textFill>
        </w:rPr>
        <w:t>每发现一次处以人民币1000元违约金。</w:t>
      </w:r>
      <w:bookmarkEnd w:id="46"/>
    </w:p>
    <w:p w14:paraId="5F766300">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3.6建筑垃圾清运</w:t>
      </w:r>
    </w:p>
    <w:p w14:paraId="7401BF8F">
      <w:pPr>
        <w:pStyle w:val="16"/>
        <w:tabs>
          <w:tab w:val="left" w:pos="0"/>
        </w:tabs>
        <w:spacing w:line="440" w:lineRule="exact"/>
        <w:ind w:firstLine="525" w:firstLineChars="25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建筑垃圾、清理出的污泥垃圾、剩余建筑材料必须随清随运，不得堆放在现场，如有发现未及时运走的，每发现一处处以人民币500违约金。</w:t>
      </w:r>
    </w:p>
    <w:p w14:paraId="6033E143">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4、其他规定</w:t>
      </w:r>
    </w:p>
    <w:p w14:paraId="78900B1A">
      <w:pPr>
        <w:pStyle w:val="16"/>
        <w:tabs>
          <w:tab w:val="left" w:pos="0"/>
        </w:tabs>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4.1在区级及以上组织的迎检活动中，因承包人原因造成迎检不合格的一次扣人民币5万元；连续3次因承包人原因造成迎检不合格的，发包人有权单方终止合同，并要求承包人承担相应的违约责任。</w:t>
      </w:r>
      <w:bookmarkStart w:id="47" w:name="auto_fouce_29"/>
    </w:p>
    <w:bookmarkEnd w:id="47"/>
    <w:p w14:paraId="34158D32">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4.2因承包人巡查不力，没有及时向发包人反馈管养范围内市政设施损坏情况，或者因维修措施不力，没有及时修复损坏市政设施，危害市政设施安全的，发包人有权单方终止合同，并要求承包人承担相应的违约责任。</w:t>
      </w:r>
    </w:p>
    <w:p w14:paraId="758A32FA">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bookmarkStart w:id="48" w:name="auto_fouce_30"/>
      <w:r>
        <w:rPr>
          <w:rFonts w:hint="eastAsia" w:ascii="宋体" w:hAnsi="宋体" w:eastAsia="宋体" w:cs="宋体"/>
          <w:color w:val="000000" w:themeColor="text1"/>
          <w:szCs w:val="21"/>
          <w14:textFill>
            <w14:solidFill>
              <w14:schemeClr w14:val="tx1"/>
            </w14:solidFill>
          </w14:textFill>
        </w:rPr>
        <w:t>4.3因承包人原因被新闻媒体曝光的每次处以人民币1000元违约金；被上级部门或领导通报批评或影响道路交通安全和畅通问题的，经核实，每次处以人民币3000元违约金。</w:t>
      </w:r>
    </w:p>
    <w:p w14:paraId="0FAA129C">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4.4存在与雇员的劳动纠纷或拖欠农民工工资，且</w:t>
      </w:r>
      <w:r>
        <w:rPr>
          <w:rFonts w:hint="eastAsia" w:ascii="宋体" w:hAnsi="宋体" w:eastAsia="宋体" w:cs="宋体"/>
          <w:color w:val="000000" w:themeColor="text1"/>
          <w:szCs w:val="21"/>
          <w:lang w:eastAsia="zh-CN"/>
          <w14:textFill>
            <w14:solidFill>
              <w14:schemeClr w14:val="tx1"/>
            </w14:solidFill>
          </w14:textFill>
        </w:rPr>
        <w:t>证明是</w:t>
      </w:r>
      <w:r>
        <w:rPr>
          <w:rFonts w:hint="eastAsia" w:ascii="宋体" w:hAnsi="宋体" w:eastAsia="宋体" w:cs="宋体"/>
          <w:color w:val="000000" w:themeColor="text1"/>
          <w:szCs w:val="21"/>
          <w14:textFill>
            <w14:solidFill>
              <w14:schemeClr w14:val="tx1"/>
            </w14:solidFill>
          </w14:textFill>
        </w:rPr>
        <w:t>承包人违反相关规定的，每人次处以人民币2000元违约金。</w:t>
      </w:r>
      <w:bookmarkEnd w:id="48"/>
    </w:p>
    <w:p w14:paraId="2884D2CA">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4.5因承包人原因，未按照发包人要求定期完成养护及维护任务的，每延误一日历天处以人民币1000元违约金。</w:t>
      </w:r>
    </w:p>
    <w:p w14:paraId="1AC8B9F4">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4.6合同中未提及的相关技术标准和规范，应按国家、地方相关标准执行，未按相关标准执行的按合同约定追究违约责任。</w:t>
      </w:r>
    </w:p>
    <w:p w14:paraId="73F12BB7">
      <w:pPr>
        <w:pStyle w:val="16"/>
        <w:tabs>
          <w:tab w:val="left" w:pos="0"/>
        </w:tabs>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bookmarkStart w:id="49" w:name="auto_fouce_31"/>
      <w:r>
        <w:rPr>
          <w:rFonts w:hint="eastAsia" w:ascii="宋体" w:hAnsi="宋体" w:eastAsia="宋体" w:cs="宋体"/>
          <w:color w:val="000000" w:themeColor="text1"/>
          <w:szCs w:val="21"/>
          <w14:textFill>
            <w14:solidFill>
              <w14:schemeClr w14:val="tx1"/>
            </w14:solidFill>
          </w14:textFill>
        </w:rPr>
        <w:t>4.7承包人应在每个月末前完成上个月维护内容的签证办理工作，并在每季度结束后的下个</w:t>
      </w:r>
      <w:r>
        <w:rPr>
          <w:rFonts w:hint="eastAsia" w:ascii="宋体" w:hAnsi="宋体" w:eastAsia="宋体" w:cs="宋体"/>
          <w:color w:val="000000" w:themeColor="text1"/>
          <w:szCs w:val="21"/>
          <w:lang w:eastAsia="zh-CN"/>
          <w14:textFill>
            <w14:solidFill>
              <w14:schemeClr w14:val="tx1"/>
            </w14:solidFill>
          </w14:textFill>
        </w:rPr>
        <w:t>季度</w:t>
      </w:r>
      <w:r>
        <w:rPr>
          <w:rFonts w:hint="eastAsia" w:ascii="宋体" w:hAnsi="宋体" w:eastAsia="宋体" w:cs="宋体"/>
          <w:color w:val="000000" w:themeColor="text1"/>
          <w:szCs w:val="21"/>
          <w14:textFill>
            <w14:solidFill>
              <w14:schemeClr w14:val="tx1"/>
            </w14:solidFill>
          </w14:textFill>
        </w:rPr>
        <w:t>末前完成上个季度的结算办理工作</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逾期未办理的，每次处以人民币10000元违约金。</w:t>
      </w:r>
    </w:p>
    <w:bookmarkEnd w:id="49"/>
    <w:p w14:paraId="22392271">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4.8 与本项目有关的警示牌、告示牌、工作服、安全帽、巡查车等仅限于本项目使用，如发现承包人用于其他项目，每发现一次处以人民币2000元违约金。</w:t>
      </w:r>
    </w:p>
    <w:p w14:paraId="0226EA93">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4.9 因承包人原因造成数字城管件、e龙岩件</w:t>
      </w:r>
      <w:r>
        <w:rPr>
          <w:rFonts w:hint="eastAsia" w:ascii="宋体" w:hAnsi="宋体" w:eastAsia="宋体" w:cs="宋体"/>
          <w:color w:val="000000" w:themeColor="text1"/>
          <w:szCs w:val="21"/>
          <w:lang w:eastAsia="zh-CN"/>
          <w14:textFill>
            <w14:solidFill>
              <w14:schemeClr w14:val="tx1"/>
            </w14:solidFill>
          </w14:textFill>
        </w:rPr>
        <w:t>、运管服平台</w:t>
      </w:r>
      <w:r>
        <w:rPr>
          <w:rFonts w:hint="eastAsia" w:ascii="宋体" w:hAnsi="宋体" w:eastAsia="宋体" w:cs="宋体"/>
          <w:color w:val="000000" w:themeColor="text1"/>
          <w:szCs w:val="21"/>
          <w14:textFill>
            <w14:solidFill>
              <w14:schemeClr w14:val="tx1"/>
            </w14:solidFill>
          </w14:textFill>
        </w:rPr>
        <w:t>超期的，每逾期一件处以人民币500元违约金。</w:t>
      </w:r>
    </w:p>
    <w:p w14:paraId="795865E9">
      <w:pPr>
        <w:pStyle w:val="16"/>
        <w:tabs>
          <w:tab w:val="left" w:pos="0"/>
        </w:tabs>
        <w:spacing w:line="440" w:lineRule="exact"/>
        <w:ind w:firstLine="420" w:firstLineChars="200"/>
        <w:rPr>
          <w:rFonts w:ascii="宋体" w:hAnsi="宋体" w:eastAsia="宋体" w:cs="宋体"/>
          <w:color w:val="000000" w:themeColor="text1"/>
          <w:szCs w:val="21"/>
          <w:lang w:eastAsia="zh-CN"/>
          <w14:textFill>
            <w14:solidFill>
              <w14:schemeClr w14:val="tx1"/>
            </w14:solidFill>
          </w14:textFill>
        </w:rPr>
      </w:pPr>
      <w:bookmarkStart w:id="50" w:name="auto_fouce_32"/>
      <w:r>
        <w:rPr>
          <w:rFonts w:hint="eastAsia" w:ascii="宋体" w:hAnsi="宋体" w:eastAsia="宋体" w:cs="宋体"/>
          <w:color w:val="000000" w:themeColor="text1"/>
          <w:szCs w:val="21"/>
          <w14:textFill>
            <w14:solidFill>
              <w14:schemeClr w14:val="tx1"/>
            </w14:solidFill>
          </w14:textFill>
        </w:rPr>
        <w:t>4.10 遇突发事故、紧急抢险时，承包人未按发包人要求（市政府周边2km范围内不超过15分钟、市区内其余区域不超过30分钟）赶到现场参与抢险救灾、处理突发事故的，</w:t>
      </w:r>
      <w:r>
        <w:rPr>
          <w:rFonts w:hint="eastAsia" w:ascii="宋体" w:hAnsi="宋体" w:eastAsia="宋体" w:cs="宋体"/>
          <w:color w:val="000000" w:themeColor="text1"/>
          <w:szCs w:val="21"/>
          <w:lang w:eastAsia="zh-CN"/>
          <w14:textFill>
            <w14:solidFill>
              <w14:schemeClr w14:val="tx1"/>
            </w14:solidFill>
          </w14:textFill>
        </w:rPr>
        <w:t>每</w:t>
      </w:r>
      <w:r>
        <w:rPr>
          <w:rFonts w:hint="eastAsia" w:ascii="宋体" w:hAnsi="宋体" w:eastAsia="宋体" w:cs="宋体"/>
          <w:color w:val="000000" w:themeColor="text1"/>
          <w:szCs w:val="21"/>
          <w14:textFill>
            <w14:solidFill>
              <w14:schemeClr w14:val="tx1"/>
            </w14:solidFill>
          </w14:textFill>
        </w:rPr>
        <w:t>次处</w:t>
      </w:r>
      <w:r>
        <w:rPr>
          <w:rFonts w:hint="eastAsia" w:ascii="宋体" w:hAnsi="宋体" w:eastAsia="宋体" w:cs="宋体"/>
          <w:color w:val="000000" w:themeColor="text1"/>
          <w:szCs w:val="21"/>
          <w:lang w:eastAsia="zh-CN"/>
          <w14:textFill>
            <w14:solidFill>
              <w14:schemeClr w14:val="tx1"/>
            </w14:solidFill>
          </w14:textFill>
        </w:rPr>
        <w:t>以</w:t>
      </w:r>
      <w:r>
        <w:rPr>
          <w:rFonts w:hint="eastAsia" w:ascii="宋体" w:hAnsi="宋体" w:eastAsia="宋体" w:cs="宋体"/>
          <w:color w:val="000000" w:themeColor="text1"/>
          <w:szCs w:val="21"/>
          <w14:textFill>
            <w14:solidFill>
              <w14:schemeClr w14:val="tx1"/>
            </w14:solidFill>
          </w14:textFill>
        </w:rPr>
        <w:t>人民币2000元违约金</w:t>
      </w:r>
      <w:r>
        <w:rPr>
          <w:rFonts w:hint="eastAsia" w:ascii="宋体" w:hAnsi="宋体" w:eastAsia="宋体" w:cs="宋体"/>
          <w:color w:val="000000" w:themeColor="text1"/>
          <w:szCs w:val="21"/>
          <w:lang w:eastAsia="zh-CN"/>
          <w14:textFill>
            <w14:solidFill>
              <w14:schemeClr w14:val="tx1"/>
            </w14:solidFill>
          </w14:textFill>
        </w:rPr>
        <w:t>。</w:t>
      </w:r>
      <w:bookmarkEnd w:id="50"/>
    </w:p>
    <w:p w14:paraId="31EAC21A">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4.11 未经发包人允许，承包人擅自开展修复工作的，相应工程量不予计量，并每次处以人民币10000元违约金。</w:t>
      </w:r>
    </w:p>
    <w:p w14:paraId="1E1C237C">
      <w:pPr>
        <w:pStyle w:val="16"/>
        <w:tabs>
          <w:tab w:val="left" w:pos="0"/>
        </w:tabs>
        <w:spacing w:line="44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bookmarkStart w:id="51" w:name="auto_fouce_34"/>
      <w:r>
        <w:rPr>
          <w:rFonts w:hint="eastAsia" w:ascii="宋体" w:hAnsi="宋体" w:eastAsia="宋体" w:cs="宋体"/>
          <w:color w:val="000000" w:themeColor="text1"/>
          <w:szCs w:val="21"/>
          <w14:textFill>
            <w14:solidFill>
              <w14:schemeClr w14:val="tx1"/>
            </w14:solidFill>
          </w14:textFill>
        </w:rPr>
        <w:t>4.12 道路开挖修复应在发包人派单后5个日历天内完成，如遇开挖位置位于学校、医院、商场等重要区域周边，应在3个日历天或发包人要求时间内完成，每延误一日历天处以人民币1000元违约金。</w:t>
      </w:r>
      <w:r>
        <w:rPr>
          <w:rFonts w:hint="eastAsia" w:ascii="宋体" w:hAnsi="宋体" w:eastAsia="宋体" w:cs="宋体"/>
          <w:color w:val="000000" w:themeColor="text1"/>
          <w:szCs w:val="21"/>
          <w:lang w:eastAsia="zh-CN"/>
          <w14:textFill>
            <w14:solidFill>
              <w14:schemeClr w14:val="tx1"/>
            </w14:solidFill>
          </w14:textFill>
        </w:rPr>
        <w:t>因管线单位交叉施工、极端天气等不可归责于承包人的事由导致延误的，工期应予顺延。</w:t>
      </w:r>
      <w:bookmarkEnd w:id="51"/>
    </w:p>
    <w:p w14:paraId="24EE0CC8">
      <w:pPr>
        <w:pStyle w:val="16"/>
        <w:tabs>
          <w:tab w:val="left" w:pos="0"/>
        </w:tabs>
        <w:spacing w:line="440" w:lineRule="exact"/>
        <w:ind w:firstLine="420" w:firstLineChars="200"/>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4.13承包人应按照发包人的要求在道路、排水日常维护工作中使用龙岩市城市运行管理服务平台并服从相关管理，在规定时限内完成案件的处置工作，每逾期一件处以人民币100元违约金。</w:t>
      </w:r>
    </w:p>
    <w:p w14:paraId="0870503E">
      <w:pPr>
        <w:pStyle w:val="16"/>
        <w:tabs>
          <w:tab w:val="left" w:pos="0"/>
        </w:tabs>
        <w:spacing w:line="440" w:lineRule="exact"/>
        <w:ind w:firstLine="420" w:firstLineChars="200"/>
        <w:rPr>
          <w:rFonts w:ascii="宋体" w:hAnsi="宋体" w:eastAsia="宋体" w:cs="宋体"/>
          <w:bCs/>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5、违约金支付：上述</w:t>
      </w:r>
      <w:r>
        <w:rPr>
          <w:rFonts w:hint="eastAsia" w:ascii="宋体" w:hAnsi="宋体" w:eastAsia="宋体" w:cs="宋体"/>
          <w:bCs/>
          <w:color w:val="000000" w:themeColor="text1"/>
          <w:szCs w:val="21"/>
          <w14:textFill>
            <w14:solidFill>
              <w14:schemeClr w14:val="tx1"/>
            </w14:solidFill>
          </w14:textFill>
        </w:rPr>
        <w:t>违约金从当季工程款中直接扣除。</w:t>
      </w:r>
      <w:bookmarkStart w:id="52" w:name="auto_fouce_36"/>
    </w:p>
    <w:bookmarkEnd w:id="52"/>
    <w:p w14:paraId="7D03F46E">
      <w:pPr>
        <w:pStyle w:val="16"/>
        <w:tabs>
          <w:tab w:val="left" w:pos="0"/>
          <w:tab w:val="left" w:pos="851"/>
        </w:tabs>
        <w:spacing w:line="440" w:lineRule="exact"/>
        <w:ind w:left="426"/>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六、结算</w:t>
      </w:r>
    </w:p>
    <w:p w14:paraId="74D6F1E9">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1、本合同为可调价格合同。结算造价按合同期内承包人实际完成的工程量为准。</w:t>
      </w:r>
    </w:p>
    <w:p w14:paraId="76CBC75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2、结算标准：采用定额结算方式。</w:t>
      </w:r>
    </w:p>
    <w:p w14:paraId="7133D4AF">
      <w:pPr>
        <w:pStyle w:val="16"/>
        <w:tabs>
          <w:tab w:val="left" w:pos="0"/>
        </w:tabs>
        <w:spacing w:line="440" w:lineRule="exact"/>
        <w:ind w:firstLine="420" w:firstLineChars="20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 本维护项目每季度办理一次结算，承包人根据施工图纸（若有）、工程签证单等按《福建省建筑安装工程费用定额》（2017版）及有关调整文件、《福建省市政维护工程消耗量定额》（FJYD-601-2007）计算当季度实际完成的工程量。材料价格按维修期相应季度第一个月《龙岩建设工程造价信息》新罗区建设工程材料（综合）价格（缺项材料，依据询价制度确定适当的单价），机械台班单价按《福建省房屋建筑和市政基础设施工程施工机械台班费用定额》（2021版），人工费按施工期建设行政主管部门有关规定计算。承包期限内如建设行政主管部门对相关定额、费用、人工预算单价及人工费动态指数进行调整，则按相关文件进行调整。</w:t>
      </w:r>
      <w:bookmarkStart w:id="53" w:name="auto_fouce_39"/>
      <w:r>
        <w:rPr>
          <w:rFonts w:hint="eastAsia" w:ascii="宋体" w:hAnsi="宋体" w:eastAsia="宋体" w:cs="宋体"/>
          <w:color w:val="000000" w:themeColor="text1"/>
          <w:szCs w:val="21"/>
          <w:lang w:eastAsia="zh-CN"/>
          <w14:textFill>
            <w14:solidFill>
              <w14:schemeClr w14:val="tx1"/>
            </w14:solidFill>
          </w14:textFill>
        </w:rPr>
        <w:t>如政府相关政策、定额、费用标准等发生调整，合同执行期间应按最新政策文件执行，承包人不得以政策变化为由主张额外索赔。</w:t>
      </w:r>
      <w:bookmarkEnd w:id="53"/>
      <w:r>
        <w:rPr>
          <w:rFonts w:hint="eastAsia" w:ascii="宋体" w:hAnsi="宋体" w:eastAsia="宋体" w:cs="宋体"/>
          <w:color w:val="000000" w:themeColor="text1"/>
          <w:szCs w:val="21"/>
          <w:lang w:eastAsia="zh-CN"/>
          <w14:textFill>
            <w14:solidFill>
              <w14:schemeClr w14:val="tx1"/>
            </w14:solidFill>
          </w14:textFill>
        </w:rPr>
        <w:t xml:space="preserve"> </w:t>
      </w:r>
      <w:bookmarkStart w:id="54" w:name="auto_fouce_40"/>
      <w:r>
        <w:rPr>
          <w:rFonts w:hint="eastAsia" w:ascii="宋体" w:hAnsi="宋体" w:eastAsia="宋体" w:cs="宋体"/>
          <w:color w:val="000000" w:themeColor="text1"/>
          <w:szCs w:val="21"/>
          <w:lang w:eastAsia="zh-CN"/>
          <w14:textFill>
            <w14:solidFill>
              <w14:schemeClr w14:val="tx1"/>
            </w14:solidFill>
          </w14:textFill>
        </w:rPr>
        <w:t>材料价格调整应严格按照《龙岩建设工程造价信息》及相关政策文件执行，承包人不得以市场波动为由单方面调整材料价格。</w:t>
      </w:r>
      <w:bookmarkEnd w:id="54"/>
      <w:r>
        <w:rPr>
          <w:rFonts w:hint="eastAsia" w:ascii="宋体" w:hAnsi="宋体" w:eastAsia="宋体" w:cs="宋体"/>
          <w:color w:val="000000" w:themeColor="text1"/>
          <w:szCs w:val="21"/>
          <w:lang w:eastAsia="zh-CN"/>
          <w14:textFill>
            <w14:solidFill>
              <w14:schemeClr w14:val="tx1"/>
            </w14:solidFill>
          </w14:textFill>
        </w:rPr>
        <w:t xml:space="preserve"> </w:t>
      </w:r>
      <w:bookmarkStart w:id="55" w:name="auto_fouce_41"/>
      <w:r>
        <w:rPr>
          <w:rFonts w:hint="eastAsia" w:ascii="宋体" w:hAnsi="宋体" w:eastAsia="宋体" w:cs="宋体"/>
          <w:color w:val="000000" w:themeColor="text1"/>
          <w:szCs w:val="21"/>
          <w:lang w:eastAsia="zh-CN"/>
          <w14:textFill>
            <w14:solidFill>
              <w14:schemeClr w14:val="tx1"/>
            </w14:solidFill>
          </w14:textFill>
        </w:rPr>
        <w:t>所有工程量确认及签证须由承包人、监理及发包人三方共同现场确认并签字，未按流程签证的工程量不予结算。</w:t>
      </w:r>
      <w:bookmarkEnd w:id="55"/>
    </w:p>
    <w:p w14:paraId="0EAB5011">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4、《福建省市政维护工程消耗量定额》（FJYD-601-2007）范围外的项目按《福建省市政工程预算定额》（FJYD-401-2017～FJYD-409-2017）结算。</w:t>
      </w:r>
    </w:p>
    <w:p w14:paraId="0FA58B96">
      <w:pPr>
        <w:pStyle w:val="16"/>
        <w:tabs>
          <w:tab w:val="left" w:pos="0"/>
        </w:tabs>
        <w:spacing w:line="440" w:lineRule="exact"/>
        <w:ind w:firstLine="420" w:firstLineChars="20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沥青路面修补如遇破损坑洞深浅不一、面积不规则不好计算的，在计算修补沥青混凝土厚度时统一按压实厚度3CM计算。修补面积按过磅的拌合沥青混凝土重量除以2.35密度换算成压实后的体积再除以厚度计算。预拌沥青混凝土运距按8KM包干。沥青砼重量的过磅单需承包人、监理及发包人代表三方签字。</w:t>
      </w:r>
    </w:p>
    <w:p w14:paraId="6C766B4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6、水泥混凝土每处用量超过10m</w:t>
      </w:r>
      <w:r>
        <w:rPr>
          <w:rFonts w:hint="eastAsia" w:ascii="宋体" w:hAnsi="宋体" w:eastAsia="宋体" w:cs="宋体"/>
          <w:color w:val="000000" w:themeColor="text1"/>
          <w:szCs w:val="21"/>
          <w:vertAlign w:val="superscript"/>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必须采用预拌商品砼，运距按8KM包干。水泥混凝土每处用量小于10m</w:t>
      </w:r>
      <w:r>
        <w:rPr>
          <w:rFonts w:hint="eastAsia" w:ascii="宋体" w:hAnsi="宋体" w:eastAsia="宋体" w:cs="宋体"/>
          <w:color w:val="000000" w:themeColor="text1"/>
          <w:szCs w:val="21"/>
          <w:vertAlign w:val="superscript"/>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允许自拌。采用商品砼的应于验收计量时出具相应商砼的供货单、配合比报告及强度检验报告。</w:t>
      </w:r>
    </w:p>
    <w:p w14:paraId="5558B2DE">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弃土（渣）外运按4T汽车运距9KM包干。渣土处置费（收纳费）按《龙岩市建筑材料运输与建筑废土处置管理暂行规定》计取，并应提供有效票据。若施工期间政府有出台新的建筑垃圾处理相关文件，则运距和垃圾处理依据时间界限按文件执行。如因承包人未取得渣土办处置证的，运距按9KM包干计算，渣土处置费（收纳费）等费用不计取。承包人因未遵守《龙岩市建筑材料运输与建筑废土处置管理暂行规定》而造成的违约均由承包人自行承担。</w:t>
      </w:r>
    </w:p>
    <w:p w14:paraId="3DCF6FB1">
      <w:pPr>
        <w:pStyle w:val="18"/>
        <w:widowControl w:val="0"/>
        <w:tabs>
          <w:tab w:val="left" w:pos="0"/>
        </w:tabs>
        <w:snapToGrid w:val="0"/>
        <w:spacing w:line="440" w:lineRule="exact"/>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8、工</w:t>
      </w:r>
      <w:r>
        <w:rPr>
          <w:rFonts w:hint="eastAsia" w:ascii="宋体" w:hAnsi="宋体" w:cs="宋体"/>
          <w:color w:val="000000" w:themeColor="text1"/>
          <w:sz w:val="21"/>
          <w:szCs w:val="21"/>
          <w14:textFill>
            <w14:solidFill>
              <w14:schemeClr w14:val="tx1"/>
            </w14:solidFill>
          </w14:textFill>
        </w:rPr>
        <w:t>程结算总价＝工程总造价×（1-K），K= 12%。</w:t>
      </w:r>
    </w:p>
    <w:p w14:paraId="289E8C35">
      <w:pPr>
        <w:pStyle w:val="16"/>
        <w:tabs>
          <w:tab w:val="left" w:pos="0"/>
        </w:tabs>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bookmarkStart w:id="56" w:name="auto_fouce_43"/>
      <w:r>
        <w:rPr>
          <w:rFonts w:hint="eastAsia" w:ascii="宋体" w:hAnsi="宋体" w:eastAsia="宋体" w:cs="宋体"/>
          <w:color w:val="000000" w:themeColor="text1"/>
          <w:szCs w:val="21"/>
          <w14:textFill>
            <w14:solidFill>
              <w14:schemeClr w14:val="tx1"/>
            </w14:solidFill>
          </w14:textFill>
        </w:rPr>
        <w:t>工程结算以经</w:t>
      </w:r>
      <w:r>
        <w:rPr>
          <w:rFonts w:hint="eastAsia" w:ascii="宋体" w:hAnsi="宋体" w:eastAsia="宋体" w:cs="宋体"/>
          <w:color w:val="000000" w:themeColor="text1"/>
          <w:szCs w:val="21"/>
          <w:lang w:eastAsia="zh-CN"/>
          <w14:textFill>
            <w14:solidFill>
              <w14:schemeClr w14:val="tx1"/>
            </w14:solidFill>
          </w14:textFill>
        </w:rPr>
        <w:t>发包人</w:t>
      </w:r>
      <w:r>
        <w:rPr>
          <w:rFonts w:hint="eastAsia" w:ascii="宋体" w:hAnsi="宋体" w:eastAsia="宋体" w:cs="宋体"/>
          <w:color w:val="000000" w:themeColor="text1"/>
          <w:szCs w:val="21"/>
          <w14:textFill>
            <w14:solidFill>
              <w14:schemeClr w14:val="tx1"/>
            </w14:solidFill>
          </w14:textFill>
        </w:rPr>
        <w:t>审核</w:t>
      </w:r>
      <w:r>
        <w:rPr>
          <w:rFonts w:hint="eastAsia" w:ascii="宋体" w:hAnsi="宋体" w:eastAsia="宋体" w:cs="宋体"/>
          <w:color w:val="000000" w:themeColor="text1"/>
          <w:szCs w:val="21"/>
          <w:lang w:eastAsia="zh-CN"/>
          <w14:textFill>
            <w14:solidFill>
              <w14:schemeClr w14:val="tx1"/>
            </w14:solidFill>
          </w14:textFill>
        </w:rPr>
        <w:t>并书面确认</w:t>
      </w:r>
      <w:r>
        <w:rPr>
          <w:rFonts w:hint="eastAsia" w:ascii="宋体" w:hAnsi="宋体" w:eastAsia="宋体" w:cs="宋体"/>
          <w:color w:val="000000" w:themeColor="text1"/>
          <w:szCs w:val="21"/>
          <w14:textFill>
            <w14:solidFill>
              <w14:schemeClr w14:val="tx1"/>
            </w14:solidFill>
          </w14:textFill>
        </w:rPr>
        <w:t>后的工程造价为最终的工程结算造价。</w:t>
      </w:r>
    </w:p>
    <w:bookmarkEnd w:id="56"/>
    <w:p w14:paraId="171F420D">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若定额缺项的，由承包人根据询价制度确定适当的单价。</w:t>
      </w:r>
    </w:p>
    <w:p w14:paraId="6975DA55">
      <w:pPr>
        <w:pStyle w:val="16"/>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9、施工干扰费：按（∑人工费+∑机械费）×8%计取</w:t>
      </w:r>
      <w:r>
        <w:rPr>
          <w:rFonts w:hint="eastAsia" w:ascii="宋体" w:hAnsi="宋体" w:eastAsia="宋体" w:cs="宋体"/>
          <w:color w:val="000000" w:themeColor="text1"/>
          <w:szCs w:val="21"/>
          <w:lang w:eastAsia="zh-CN"/>
          <w14:textFill>
            <w14:solidFill>
              <w14:schemeClr w14:val="tx1"/>
            </w14:solidFill>
          </w14:textFill>
        </w:rPr>
        <w:t>（不计费，仅计税，同等下浮）</w:t>
      </w:r>
      <w:r>
        <w:rPr>
          <w:rFonts w:hint="eastAsia" w:ascii="宋体" w:hAnsi="宋体" w:eastAsia="宋体" w:cs="宋体"/>
          <w:color w:val="000000" w:themeColor="text1"/>
          <w:szCs w:val="21"/>
          <w14:textFill>
            <w14:solidFill>
              <w14:schemeClr w14:val="tx1"/>
            </w14:solidFill>
          </w14:textFill>
        </w:rPr>
        <w:t>。施工期间，为保障施工人员及过往行车、人员安全而增加的维护交通和疏导人员措施费用，以及在施工路段设置的大面积告示牌、安全警示标志、水马、反光锥（桶）、警戒绳等安全、文明设施，以上措施费用均已含在施工干扰费中，不再另行计取。</w:t>
      </w:r>
    </w:p>
    <w:p w14:paraId="417F6EE3">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10、内部零星维修项目结算方式</w:t>
      </w:r>
    </w:p>
    <w:p w14:paraId="7A15002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内部零星维修项目及排水设施清理项目，按以下规定结算（结算单价不下浮不取费不计税金，为完全税费单价）。合同承包期间建设行政主管部门若发布人工预算单价或人工费动态调整指数或其他有关人工费调整的文件，则人工费按调整幅度比例相应调整。</w:t>
      </w:r>
    </w:p>
    <w:p w14:paraId="4FF5CC37">
      <w:pPr>
        <w:pStyle w:val="16"/>
        <w:tabs>
          <w:tab w:val="left" w:pos="0"/>
        </w:tabs>
        <w:spacing w:line="440" w:lineRule="exact"/>
        <w:ind w:firstLine="315" w:firstLineChars="1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（1）内部零星维修项目结算单价：</w:t>
      </w:r>
    </w:p>
    <w:p w14:paraId="5981B5D3">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① 点工：132元/工日。</w:t>
      </w:r>
    </w:p>
    <w:p w14:paraId="183FF446">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② 翻盖混凝土沟盖板（含调平盖板及补平沟墙的材料费,不含沟盖板材料费）：6元/块。</w:t>
      </w:r>
    </w:p>
    <w:p w14:paraId="5BEAC16F">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③ 零星拆旧路沿石（拆、清、运）：22元/M。</w:t>
      </w:r>
    </w:p>
    <w:p w14:paraId="2C25AC5A">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④ 零星更换预制混凝土沟盖板（含调平盖板及补平沟墙的材料费，不含预制混凝土沟盖板材料费）：43元/片。</w:t>
      </w:r>
    </w:p>
    <w:p w14:paraId="356C3A21">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④人行道九格砖、光亮砖等零星修补(每处≦1㎡):217元/㎡(含破损人行道板及砼垫层的拆除、废渣清理外运，重新铺砌砼垫层及人行道板。其中人工费79元/㎡)。</w:t>
      </w:r>
    </w:p>
    <w:p w14:paraId="26E8110D">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⑤人行道透水砖零星修补(每处≦1㎡):233元/㎡(含破损透水砖及砼垫层的拆除、废渣清理外运，重新铺砌砼垫层及透水砖。其中人工费79元/㎡)。</w:t>
      </w:r>
    </w:p>
    <w:p w14:paraId="40917467">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以上项目单价均包括更换材料的运输、安装、现场清理、养护、施工安全设施、施工废渣外运。</w:t>
      </w:r>
    </w:p>
    <w:p w14:paraId="79750903">
      <w:pPr>
        <w:pStyle w:val="16"/>
        <w:tabs>
          <w:tab w:val="left" w:pos="0"/>
        </w:tabs>
        <w:spacing w:line="440" w:lineRule="exact"/>
        <w:ind w:firstLine="315" w:firstLineChars="1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（2）排水设施清理结算标准（按实际发生数量，经承发包双方现场确认后计取）：</w:t>
      </w:r>
    </w:p>
    <w:p w14:paraId="344D3BFB">
      <w:pPr>
        <w:pStyle w:val="16"/>
        <w:tabs>
          <w:tab w:val="left" w:pos="0"/>
        </w:tabs>
        <w:spacing w:line="440" w:lineRule="exact"/>
        <w:ind w:firstLine="525" w:firstLineChars="25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① 雨水箅：每个井每次清理厚度按20CM，规格按64×33CM计算。</w:t>
      </w:r>
    </w:p>
    <w:p w14:paraId="15503B52">
      <w:pPr>
        <w:pStyle w:val="16"/>
        <w:tabs>
          <w:tab w:val="left" w:pos="0"/>
        </w:tabs>
        <w:spacing w:line="440" w:lineRule="exact"/>
        <w:ind w:firstLine="525" w:firstLineChars="250"/>
        <w:rPr>
          <w:rFonts w:ascii="宋体" w:hAnsi="宋体" w:eastAsia="宋体" w:cs="宋体"/>
          <w:iCs/>
          <w:color w:val="000000" w:themeColor="text1"/>
          <w:szCs w:val="21"/>
          <w14:textFill>
            <w14:solidFill>
              <w14:schemeClr w14:val="tx1"/>
            </w14:solidFill>
          </w14:textFill>
        </w:rPr>
      </w:pPr>
      <w:r>
        <w:rPr>
          <w:rFonts w:hint="eastAsia" w:ascii="宋体" w:hAnsi="宋体" w:eastAsia="宋体" w:cs="宋体"/>
          <w:iCs/>
          <w:color w:val="000000" w:themeColor="text1"/>
          <w:szCs w:val="21"/>
          <w14:textFill>
            <w14:solidFill>
              <w14:schemeClr w14:val="tx1"/>
            </w14:solidFill>
          </w14:textFill>
        </w:rPr>
        <w:t>② 路边横水沟：每工日清10条，每工日132元计算（含污泥清理、外运）。</w:t>
      </w:r>
    </w:p>
    <w:p w14:paraId="052F1FC3">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七、工程款支付</w:t>
      </w:r>
    </w:p>
    <w:p w14:paraId="0467CF1C">
      <w:pPr>
        <w:pStyle w:val="16"/>
        <w:tabs>
          <w:tab w:val="left" w:pos="0"/>
        </w:tabs>
        <w:snapToGrid w:val="0"/>
        <w:spacing w:line="440" w:lineRule="exact"/>
        <w:ind w:firstLine="426"/>
        <w:jc w:val="left"/>
        <w:rPr>
          <w:rFonts w:hint="eastAsia" w:ascii="宋体" w:hAnsi="宋体" w:eastAsia="宋体" w:cs="宋体"/>
          <w:color w:val="000000" w:themeColor="text1"/>
          <w:szCs w:val="21"/>
          <w:lang w:val="en-US" w:eastAsia="zh-CN"/>
          <w14:textFill>
            <w14:solidFill>
              <w14:schemeClr w14:val="tx1"/>
            </w14:solidFill>
          </w14:textFill>
        </w:rPr>
      </w:pPr>
      <w:bookmarkStart w:id="57" w:name="auto_fouce_45"/>
      <w:r>
        <w:rPr>
          <w:rFonts w:hint="eastAsia" w:ascii="宋体" w:hAnsi="宋体" w:eastAsia="宋体" w:cs="宋体"/>
          <w:color w:val="000000" w:themeColor="text1"/>
          <w:szCs w:val="21"/>
          <w14:textFill>
            <w14:solidFill>
              <w14:schemeClr w14:val="tx1"/>
            </w14:solidFill>
          </w14:textFill>
        </w:rPr>
        <w:t>承包人每季度办理一次工程结算，经发包人和监理审核后支付该季度已完合格工程量80%的进度款</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工程结算经有权部门审核确认后支付至审核确认后工程总造价的</w:t>
      </w:r>
      <w:r>
        <w:rPr>
          <w:rFonts w:hint="eastAsia" w:ascii="宋体" w:hAnsi="宋体" w:eastAsia="宋体" w:cs="宋体"/>
          <w:color w:val="000000" w:themeColor="text1"/>
          <w:szCs w:val="21"/>
          <w:lang w:val="en-US" w:eastAsia="zh-CN"/>
          <w14:textFill>
            <w14:solidFill>
              <w14:schemeClr w14:val="tx1"/>
            </w14:solidFill>
          </w14:textFill>
        </w:rPr>
        <w:t>100%</w:t>
      </w:r>
      <w:bookmarkEnd w:id="57"/>
      <w:r>
        <w:rPr>
          <w:rFonts w:hint="eastAsia" w:ascii="宋体" w:hAnsi="宋体" w:eastAsia="宋体" w:cs="宋体"/>
          <w:color w:val="000000" w:themeColor="text1"/>
          <w:szCs w:val="21"/>
          <w:lang w:val="en-US" w:eastAsia="zh-CN"/>
          <w14:textFill>
            <w14:solidFill>
              <w14:schemeClr w14:val="tx1"/>
            </w14:solidFill>
          </w14:textFill>
        </w:rPr>
        <w:t>。工程款全部以银行转账形式支付。</w:t>
      </w:r>
    </w:p>
    <w:p w14:paraId="7582B5CA">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八、其他事项</w:t>
      </w:r>
    </w:p>
    <w:p w14:paraId="525DC307">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1、承包人应严格按施工规范施工，做好施工现场的安全防护措施，若因施工不规范或安全防护措施不当或维修不及时造成安全事故，其责任和一切费用均由承包人承担。</w:t>
      </w:r>
    </w:p>
    <w:p w14:paraId="47AF2D3F">
      <w:pPr>
        <w:pStyle w:val="16"/>
        <w:tabs>
          <w:tab w:val="left" w:pos="0"/>
        </w:tabs>
        <w:spacing w:line="4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由于日常维护项目点多面广的特殊性，施工现场的水源和电源发包人无法提供，施工过程中所需的水源、电源均由承包人自行解决，费用自理，发包人不再另行支付该项费用。未经发包人以及有关部门同意，承包人不得擅自接驳线路，不得乱拉私接电线。</w:t>
      </w:r>
    </w:p>
    <w:p w14:paraId="63A4247D">
      <w:pPr>
        <w:pStyle w:val="16"/>
        <w:tabs>
          <w:tab w:val="left" w:pos="0"/>
        </w:tabs>
        <w:spacing w:line="440" w:lineRule="exact"/>
        <w:ind w:firstLine="420" w:firstLineChars="200"/>
        <w:rPr>
          <w:rFonts w:ascii="宋体" w:hAnsi="宋体" w:eastAsia="宋体" w:cs="宋体"/>
          <w:snapToGrid w:val="0"/>
          <w:color w:val="000000" w:themeColor="text1"/>
          <w:szCs w:val="21"/>
          <w14:textFill>
            <w14:solidFill>
              <w14:schemeClr w14:val="tx1"/>
            </w14:solidFill>
          </w14:textFill>
        </w:rPr>
      </w:pPr>
      <w:r>
        <w:rPr>
          <w:rFonts w:hint="eastAsia" w:ascii="宋体" w:hAnsi="宋体" w:eastAsia="宋体" w:cs="宋体"/>
          <w:snapToGrid w:val="0"/>
          <w:color w:val="000000" w:themeColor="text1"/>
          <w:szCs w:val="21"/>
          <w14:textFill>
            <w14:solidFill>
              <w14:schemeClr w14:val="tx1"/>
            </w14:solidFill>
          </w14:textFill>
        </w:rPr>
        <w:t>3、承包期限内，发包人将进行不定期监督检查，对于在检查中发现的问题，承包人应立即进行整改，发包人还将按合同约定对承包人追究违约责任。</w:t>
      </w:r>
    </w:p>
    <w:p w14:paraId="1828BAFD">
      <w:pPr>
        <w:pStyle w:val="25"/>
        <w:spacing w:line="400" w:lineRule="exact"/>
        <w:ind w:firstLine="420" w:firstLineChars="200"/>
        <w:rPr>
          <w:rFonts w:hint="eastAsia" w:ascii="宋体" w:hAnsi="宋体" w:cs="宋体"/>
          <w:color w:val="000000" w:themeColor="text1"/>
          <w:lang w:eastAsia="zh-CN"/>
          <w14:textFill>
            <w14:solidFill>
              <w14:schemeClr w14:val="tx1"/>
            </w14:solidFill>
          </w14:textFill>
        </w:rPr>
      </w:pPr>
      <w:r>
        <w:rPr>
          <w:rFonts w:hint="eastAsia" w:ascii="宋体" w:hAnsi="宋体" w:cs="宋体"/>
          <w:snapToGrid w:val="0"/>
          <w:color w:val="000000" w:themeColor="text1"/>
          <w:lang w:eastAsia="zh-CN"/>
          <w14:textFill>
            <w14:solidFill>
              <w14:schemeClr w14:val="tx1"/>
            </w14:solidFill>
          </w14:textFill>
        </w:rPr>
        <w:t>4、承包人应在合同签订后</w:t>
      </w:r>
      <w:r>
        <w:rPr>
          <w:rFonts w:hint="eastAsia" w:ascii="宋体" w:hAnsi="宋体" w:cs="宋体"/>
          <w:snapToGrid w:val="0"/>
          <w:color w:val="000000" w:themeColor="text1"/>
          <w:u w:val="single"/>
          <w:lang w:eastAsia="zh-CN"/>
          <w14:textFill>
            <w14:solidFill>
              <w14:schemeClr w14:val="tx1"/>
            </w14:solidFill>
          </w14:textFill>
        </w:rPr>
        <w:t>7</w:t>
      </w:r>
      <w:r>
        <w:rPr>
          <w:rFonts w:hint="eastAsia" w:ascii="宋体" w:hAnsi="宋体" w:cs="宋体"/>
          <w:snapToGrid w:val="0"/>
          <w:color w:val="000000" w:themeColor="text1"/>
          <w:lang w:eastAsia="zh-CN"/>
          <w14:textFill>
            <w14:solidFill>
              <w14:schemeClr w14:val="tx1"/>
            </w14:solidFill>
          </w14:textFill>
        </w:rPr>
        <w:t>天内就本服务合同期内购买市政基础设施公众责任险,该保险的年累计赔偿限额及每次事故损失赔偿限额均应不低于2000万元，每次事故人身伤亡赔偿限额应不低于1000万元，每次事故每人人身伤亡损失赔偿限额应不低于100万元。</w:t>
      </w:r>
      <w:r>
        <w:rPr>
          <w:rFonts w:hint="eastAsia" w:ascii="宋体" w:hAnsi="宋体" w:cs="宋体"/>
          <w:color w:val="000000" w:themeColor="text1"/>
          <w:lang w:eastAsia="zh-CN"/>
          <w14:textFill>
            <w14:solidFill>
              <w14:schemeClr w14:val="tx1"/>
            </w14:solidFill>
          </w14:textFill>
        </w:rPr>
        <w:t>承包人</w:t>
      </w:r>
      <w:r>
        <w:rPr>
          <w:rFonts w:hint="eastAsia" w:ascii="宋体" w:hAnsi="宋体" w:cs="宋体"/>
          <w:snapToGrid w:val="0"/>
          <w:color w:val="000000" w:themeColor="text1"/>
          <w:lang w:eastAsia="zh-CN"/>
          <w14:textFill>
            <w14:solidFill>
              <w14:schemeClr w14:val="tx1"/>
            </w14:solidFill>
          </w14:textFill>
        </w:rPr>
        <w:t>购买该保险所需的保费</w:t>
      </w:r>
      <w:r>
        <w:rPr>
          <w:rFonts w:hint="eastAsia" w:ascii="宋体" w:hAnsi="宋体" w:cs="宋体"/>
          <w:color w:val="000000" w:themeColor="text1"/>
          <w:lang w:eastAsia="zh-CN"/>
          <w14:textFill>
            <w14:solidFill>
              <w14:schemeClr w14:val="tx1"/>
            </w14:solidFill>
          </w14:textFill>
        </w:rPr>
        <w:t>由承包人承担，</w:t>
      </w:r>
      <w:r>
        <w:rPr>
          <w:rFonts w:hint="eastAsia" w:ascii="宋体" w:hAnsi="宋体" w:cs="宋体"/>
          <w:snapToGrid w:val="0"/>
          <w:color w:val="000000" w:themeColor="text1"/>
          <w:lang w:eastAsia="zh-CN"/>
          <w14:textFill>
            <w14:solidFill>
              <w14:schemeClr w14:val="tx1"/>
            </w14:solidFill>
          </w14:textFill>
        </w:rPr>
        <w:t>发包人不再另行支付该笔费用</w:t>
      </w:r>
      <w:r>
        <w:rPr>
          <w:rFonts w:hint="eastAsia" w:ascii="宋体" w:hAnsi="宋体" w:cs="宋体"/>
          <w:color w:val="000000" w:themeColor="text1"/>
          <w:lang w:eastAsia="zh-CN"/>
          <w14:textFill>
            <w14:solidFill>
              <w14:schemeClr w14:val="tx1"/>
            </w14:solidFill>
          </w14:textFill>
        </w:rPr>
        <w:t>，且保险期间须覆盖合同履行全过程，保障内容需涵盖发包人所管养的所有市政设施（包含新接收的市政设施），合同期内发生的所有安全责任事故均由承包人负全部责任。若因承包人原因导致保险无法赔付的，相关赔偿、协商、应诉等事宜均由承包人全部负责。若因承包人原因不履行相关赔付义务的，发包人有权从工程款中扣除相应费用。</w:t>
      </w:r>
      <w:bookmarkStart w:id="58" w:name="auto_fouce_46"/>
      <w:r>
        <w:rPr>
          <w:rFonts w:hint="eastAsia" w:ascii="宋体" w:hAnsi="宋体" w:cs="宋体"/>
          <w:color w:val="000000" w:themeColor="text1"/>
          <w:lang w:eastAsia="zh-CN"/>
          <w14:textFill>
            <w14:solidFill>
              <w14:schemeClr w14:val="tx1"/>
            </w14:solidFill>
          </w14:textFill>
        </w:rPr>
        <w:t>承包人应在合同签订后7日内向发包人提交保单复印件，未按时投保的，发包人有权从工程款中代扣保费并处以2万元违约金。</w:t>
      </w:r>
      <w:bookmarkEnd w:id="58"/>
    </w:p>
    <w:p w14:paraId="57D70987">
      <w:pPr>
        <w:pStyle w:val="16"/>
        <w:spacing w:line="440" w:lineRule="exact"/>
        <w:ind w:firstLine="411" w:firstLineChars="196"/>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九、本工程合同服务期限为</w:t>
      </w:r>
      <w:r>
        <w:rPr>
          <w:rFonts w:hint="eastAsia" w:ascii="宋体" w:hAnsi="宋体" w:eastAsia="宋体" w:cs="宋体"/>
          <w:color w:val="000000" w:themeColor="text1"/>
          <w:szCs w:val="21"/>
          <w:lang w:val="en-US" w:eastAsia="zh-CN"/>
          <w14:textFill>
            <w14:solidFill>
              <w14:schemeClr w14:val="tx1"/>
            </w14:solidFill>
          </w14:textFill>
        </w:rPr>
        <w:t>三年</w:t>
      </w:r>
      <w:r>
        <w:rPr>
          <w:rFonts w:hint="eastAsia" w:ascii="宋体" w:hAnsi="宋体" w:eastAsia="宋体" w:cs="宋体"/>
          <w:color w:val="000000" w:themeColor="text1"/>
          <w:szCs w:val="21"/>
          <w14:textFill>
            <w14:solidFill>
              <w14:schemeClr w14:val="tx1"/>
            </w14:solidFill>
          </w14:textFill>
        </w:rPr>
        <w:t>，服务期限满或实际合同金额使用完毕即终止承包合同，造价的增加与减少均不作为索赔的依据。</w:t>
      </w:r>
      <w:bookmarkStart w:id="59" w:name="auto_fouce_47"/>
      <w:r>
        <w:rPr>
          <w:rFonts w:hint="eastAsia" w:ascii="宋体" w:hAnsi="宋体" w:eastAsia="宋体" w:cs="宋体"/>
          <w:color w:val="000000" w:themeColor="text1"/>
          <w:szCs w:val="21"/>
          <w:lang w:eastAsia="zh-CN"/>
          <w14:textFill>
            <w14:solidFill>
              <w14:schemeClr w14:val="tx1"/>
            </w14:solidFill>
          </w14:textFill>
        </w:rPr>
        <w:t>如因不可抗力事件导致合同无法履行或延误，相关风险及因此产生的费用、工期均由承包人自行承担，发包人不承担任何责任。</w:t>
      </w:r>
      <w:bookmarkEnd w:id="59"/>
      <w:r>
        <w:rPr>
          <w:rFonts w:hint="eastAsia" w:ascii="宋体" w:hAnsi="宋体" w:eastAsia="宋体" w:cs="宋体"/>
          <w:color w:val="000000" w:themeColor="text1"/>
          <w:szCs w:val="21"/>
          <w:lang w:eastAsia="zh-CN"/>
          <w14:textFill>
            <w14:solidFill>
              <w14:schemeClr w14:val="tx1"/>
            </w14:solidFill>
          </w14:textFill>
        </w:rPr>
        <w:t xml:space="preserve"> </w:t>
      </w:r>
      <w:bookmarkStart w:id="60" w:name="auto_fouce_48"/>
      <w:r>
        <w:rPr>
          <w:rFonts w:hint="eastAsia" w:ascii="宋体" w:hAnsi="宋体" w:eastAsia="宋体" w:cs="宋体"/>
          <w:color w:val="000000" w:themeColor="text1"/>
          <w:szCs w:val="21"/>
          <w:lang w:eastAsia="zh-CN"/>
          <w14:textFill>
            <w14:solidFill>
              <w14:schemeClr w14:val="tx1"/>
            </w14:solidFill>
          </w14:textFill>
        </w:rPr>
        <w:t>发包人有权基于自身管理、政策调整、资金安排等原因，提前书面通知承包人无条件解除合同，发包人不承担违约责任，承包人不得据此主张任何赔偿或补偿。</w:t>
      </w:r>
      <w:bookmarkEnd w:id="60"/>
      <w:r>
        <w:rPr>
          <w:rFonts w:hint="eastAsia" w:ascii="宋体" w:hAnsi="宋体" w:eastAsia="宋体" w:cs="宋体"/>
          <w:color w:val="000000" w:themeColor="text1"/>
          <w:szCs w:val="21"/>
          <w:lang w:eastAsia="zh-CN"/>
          <w14:textFill>
            <w14:solidFill>
              <w14:schemeClr w14:val="tx1"/>
            </w14:solidFill>
          </w14:textFill>
        </w:rPr>
        <w:t xml:space="preserve"> </w:t>
      </w:r>
      <w:bookmarkStart w:id="61" w:name="auto_fouce_50"/>
      <w:r>
        <w:rPr>
          <w:rFonts w:hint="eastAsia" w:ascii="宋体" w:hAnsi="宋体" w:eastAsia="宋体" w:cs="宋体"/>
          <w:color w:val="000000" w:themeColor="text1"/>
          <w:szCs w:val="21"/>
          <w:lang w:eastAsia="zh-CN"/>
          <w14:textFill>
            <w14:solidFill>
              <w14:schemeClr w14:val="tx1"/>
            </w14:solidFill>
          </w14:textFill>
        </w:rPr>
        <w:t>服务期满或实际合同金额使用完毕即终止合同，承包人不得以任何理由主张额外索赔或补偿。</w:t>
      </w:r>
      <w:bookmarkEnd w:id="61"/>
    </w:p>
    <w:p w14:paraId="5C081895">
      <w:pPr>
        <w:pStyle w:val="16"/>
        <w:spacing w:line="440" w:lineRule="exact"/>
        <w:ind w:firstLine="422" w:firstLineChars="201"/>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十、如双方确需进一步明确的事项，在该条款中另行补充。</w:t>
      </w:r>
      <w:bookmarkStart w:id="62" w:name="auto_fouce_51"/>
    </w:p>
    <w:bookmarkEnd w:id="62"/>
    <w:p w14:paraId="32A61D74">
      <w:pPr>
        <w:pStyle w:val="16"/>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p>
    <w:bookmarkEnd w:id="28"/>
    <w:bookmarkEnd w:id="29"/>
    <w:bookmarkEnd w:id="30"/>
    <w:bookmarkEnd w:id="31"/>
    <w:p w14:paraId="4DB99CB3">
      <w:pPr>
        <w:rPr>
          <w:color w:val="000000" w:themeColor="text1"/>
          <w14:textFill>
            <w14:solidFill>
              <w14:schemeClr w14:val="tx1"/>
            </w14:solidFill>
          </w14:textFill>
        </w:rPr>
      </w:pPr>
    </w:p>
    <w:sectPr>
      <w:pgSz w:w="11906" w:h="16838"/>
      <w:pgMar w:top="1134"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45024875">
    <w:panose1 w:val="02020500000000000000"/>
    <w:charset w:val="88"/>
    <w:family w:val="auto"/>
    <w:pitch w:val="default"/>
    <w:sig w:usb0="00000001" w:usb1="00000000"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8724B4"/>
    <w:multiLevelType w:val="multilevel"/>
    <w:tmpl w:val="7C8724B4"/>
    <w:lvl w:ilvl="0" w:tentative="0">
      <w:start w:val="1"/>
      <w:numFmt w:val="decimal"/>
      <w:suff w:val="space"/>
      <w:lvlText w:val="第%1章"/>
      <w:lvlJc w:val="center"/>
      <w:pPr>
        <w:tabs>
          <w:tab w:val="left" w:pos="0"/>
        </w:tabs>
        <w:ind w:left="0" w:firstLine="624"/>
      </w:pPr>
      <w:rPr>
        <w:rFonts w:hint="eastAsia" w:eastAsia="宋体"/>
        <w:b/>
        <w:sz w:val="44"/>
      </w:rPr>
    </w:lvl>
    <w:lvl w:ilvl="1" w:tentative="0">
      <w:start w:val="1"/>
      <w:numFmt w:val="decimal"/>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
    <w:nsid w:val="7C8724B6"/>
    <w:multiLevelType w:val="multilevel"/>
    <w:tmpl w:val="7C8724B6"/>
    <w:lvl w:ilvl="0" w:tentative="0">
      <w:start w:val="1"/>
      <w:numFmt w:val="decimal"/>
      <w:lvlText w:val="%1、"/>
      <w:lvlJc w:val="left"/>
      <w:pPr>
        <w:tabs>
          <w:tab w:val="left" w:pos="360"/>
        </w:tabs>
        <w:ind w:left="354"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jMTIwZTk2N2UwNWFmZTJmZjAwNTM1NjhkZWY5YjcifQ=="/>
  </w:docVars>
  <w:rsids>
    <w:rsidRoot w:val="002D21A4"/>
    <w:rsid w:val="00011A88"/>
    <w:rsid w:val="0003349B"/>
    <w:rsid w:val="00051A66"/>
    <w:rsid w:val="000526D8"/>
    <w:rsid w:val="00053481"/>
    <w:rsid w:val="00063091"/>
    <w:rsid w:val="00080190"/>
    <w:rsid w:val="00090DD1"/>
    <w:rsid w:val="00094D1F"/>
    <w:rsid w:val="00096044"/>
    <w:rsid w:val="000A23DE"/>
    <w:rsid w:val="000D14D4"/>
    <w:rsid w:val="000E43E9"/>
    <w:rsid w:val="00104B18"/>
    <w:rsid w:val="001325D0"/>
    <w:rsid w:val="001465AB"/>
    <w:rsid w:val="00180E85"/>
    <w:rsid w:val="001927D1"/>
    <w:rsid w:val="00192AA5"/>
    <w:rsid w:val="001E4599"/>
    <w:rsid w:val="001F3403"/>
    <w:rsid w:val="00202F04"/>
    <w:rsid w:val="00233C7E"/>
    <w:rsid w:val="0025345A"/>
    <w:rsid w:val="002671DB"/>
    <w:rsid w:val="0029051B"/>
    <w:rsid w:val="0029406F"/>
    <w:rsid w:val="00297BBC"/>
    <w:rsid w:val="002B04AF"/>
    <w:rsid w:val="002D21A4"/>
    <w:rsid w:val="002F16D0"/>
    <w:rsid w:val="00324F9C"/>
    <w:rsid w:val="003404C6"/>
    <w:rsid w:val="00374DCD"/>
    <w:rsid w:val="00425530"/>
    <w:rsid w:val="004465E0"/>
    <w:rsid w:val="00477568"/>
    <w:rsid w:val="00482277"/>
    <w:rsid w:val="004845C8"/>
    <w:rsid w:val="004A7F2D"/>
    <w:rsid w:val="004D225C"/>
    <w:rsid w:val="004D27EA"/>
    <w:rsid w:val="004D6C78"/>
    <w:rsid w:val="00517244"/>
    <w:rsid w:val="00540E40"/>
    <w:rsid w:val="00542586"/>
    <w:rsid w:val="005B6779"/>
    <w:rsid w:val="005C1286"/>
    <w:rsid w:val="005F4224"/>
    <w:rsid w:val="00646F8B"/>
    <w:rsid w:val="006541C2"/>
    <w:rsid w:val="006F3893"/>
    <w:rsid w:val="00724735"/>
    <w:rsid w:val="007349FE"/>
    <w:rsid w:val="00745DC6"/>
    <w:rsid w:val="007528FD"/>
    <w:rsid w:val="00765BD8"/>
    <w:rsid w:val="00845D1A"/>
    <w:rsid w:val="00857718"/>
    <w:rsid w:val="00862C20"/>
    <w:rsid w:val="008D5431"/>
    <w:rsid w:val="008E0EAC"/>
    <w:rsid w:val="008F078F"/>
    <w:rsid w:val="009224FE"/>
    <w:rsid w:val="00944326"/>
    <w:rsid w:val="0094502C"/>
    <w:rsid w:val="0096541B"/>
    <w:rsid w:val="00972DBA"/>
    <w:rsid w:val="009763D2"/>
    <w:rsid w:val="009B6D4A"/>
    <w:rsid w:val="009D778E"/>
    <w:rsid w:val="009F2D56"/>
    <w:rsid w:val="00A35D2E"/>
    <w:rsid w:val="00A40949"/>
    <w:rsid w:val="00A63E2E"/>
    <w:rsid w:val="00A71D8F"/>
    <w:rsid w:val="00AD0BB2"/>
    <w:rsid w:val="00B30D93"/>
    <w:rsid w:val="00BC30B5"/>
    <w:rsid w:val="00BE57CC"/>
    <w:rsid w:val="00BF4E5D"/>
    <w:rsid w:val="00C0522D"/>
    <w:rsid w:val="00C23D3D"/>
    <w:rsid w:val="00C24038"/>
    <w:rsid w:val="00C44B53"/>
    <w:rsid w:val="00C63330"/>
    <w:rsid w:val="00C71EA7"/>
    <w:rsid w:val="00C75962"/>
    <w:rsid w:val="00C83424"/>
    <w:rsid w:val="00D34534"/>
    <w:rsid w:val="00D43930"/>
    <w:rsid w:val="00D96DD5"/>
    <w:rsid w:val="00DC78EE"/>
    <w:rsid w:val="00EB2810"/>
    <w:rsid w:val="00EC1BE2"/>
    <w:rsid w:val="00F058DD"/>
    <w:rsid w:val="00F17D01"/>
    <w:rsid w:val="00F62286"/>
    <w:rsid w:val="00F95BF2"/>
    <w:rsid w:val="00FA2C23"/>
    <w:rsid w:val="00FB687D"/>
    <w:rsid w:val="00FC51C6"/>
    <w:rsid w:val="011078C7"/>
    <w:rsid w:val="01691EB9"/>
    <w:rsid w:val="018461B3"/>
    <w:rsid w:val="019F1377"/>
    <w:rsid w:val="01FF0536"/>
    <w:rsid w:val="02005C3A"/>
    <w:rsid w:val="025F59FA"/>
    <w:rsid w:val="02C62140"/>
    <w:rsid w:val="0361454E"/>
    <w:rsid w:val="03797855"/>
    <w:rsid w:val="03AA5DB1"/>
    <w:rsid w:val="048C515F"/>
    <w:rsid w:val="04A9243E"/>
    <w:rsid w:val="05654685"/>
    <w:rsid w:val="05B7054C"/>
    <w:rsid w:val="05F6072A"/>
    <w:rsid w:val="06147E59"/>
    <w:rsid w:val="06AB68AD"/>
    <w:rsid w:val="06E15F8D"/>
    <w:rsid w:val="06F64EA2"/>
    <w:rsid w:val="06F832D7"/>
    <w:rsid w:val="071419C2"/>
    <w:rsid w:val="08B50556"/>
    <w:rsid w:val="091E5BA4"/>
    <w:rsid w:val="09723B81"/>
    <w:rsid w:val="09B53D00"/>
    <w:rsid w:val="0A0B6909"/>
    <w:rsid w:val="0A280D49"/>
    <w:rsid w:val="0A441655"/>
    <w:rsid w:val="0A72181B"/>
    <w:rsid w:val="0B065FC2"/>
    <w:rsid w:val="0B3915BB"/>
    <w:rsid w:val="0B5FF91E"/>
    <w:rsid w:val="0B610D74"/>
    <w:rsid w:val="0C1F7BC1"/>
    <w:rsid w:val="0C3923C8"/>
    <w:rsid w:val="0CA70410"/>
    <w:rsid w:val="0D834AA8"/>
    <w:rsid w:val="0F6A012A"/>
    <w:rsid w:val="0FA765C4"/>
    <w:rsid w:val="0FDC3796"/>
    <w:rsid w:val="0FF95EA6"/>
    <w:rsid w:val="108E22ED"/>
    <w:rsid w:val="111210DE"/>
    <w:rsid w:val="11511F61"/>
    <w:rsid w:val="1170063A"/>
    <w:rsid w:val="11B83D8F"/>
    <w:rsid w:val="11D007C9"/>
    <w:rsid w:val="125A0799"/>
    <w:rsid w:val="12B62ADB"/>
    <w:rsid w:val="12CF23C4"/>
    <w:rsid w:val="133E3C48"/>
    <w:rsid w:val="138D76E2"/>
    <w:rsid w:val="13C07DDA"/>
    <w:rsid w:val="14A90B97"/>
    <w:rsid w:val="150D257F"/>
    <w:rsid w:val="15347746"/>
    <w:rsid w:val="15437E13"/>
    <w:rsid w:val="159B7C4F"/>
    <w:rsid w:val="16494F02"/>
    <w:rsid w:val="164A0D88"/>
    <w:rsid w:val="166355CA"/>
    <w:rsid w:val="16F2627D"/>
    <w:rsid w:val="196071E6"/>
    <w:rsid w:val="196773EA"/>
    <w:rsid w:val="196D545F"/>
    <w:rsid w:val="19BD01C1"/>
    <w:rsid w:val="1A0742F9"/>
    <w:rsid w:val="1A4109B4"/>
    <w:rsid w:val="1A8173BC"/>
    <w:rsid w:val="1ACB0A34"/>
    <w:rsid w:val="1CB95D99"/>
    <w:rsid w:val="1D7172F1"/>
    <w:rsid w:val="1DA80A8B"/>
    <w:rsid w:val="1DB20242"/>
    <w:rsid w:val="1DFDEDC1"/>
    <w:rsid w:val="1E1B36DB"/>
    <w:rsid w:val="1E764DB5"/>
    <w:rsid w:val="1FB96D18"/>
    <w:rsid w:val="1FBB33C8"/>
    <w:rsid w:val="20D12947"/>
    <w:rsid w:val="21832E3D"/>
    <w:rsid w:val="21DA1AFF"/>
    <w:rsid w:val="226F2247"/>
    <w:rsid w:val="227D1085"/>
    <w:rsid w:val="22A27973"/>
    <w:rsid w:val="23694EE9"/>
    <w:rsid w:val="239F4DAE"/>
    <w:rsid w:val="23A31A58"/>
    <w:rsid w:val="23FE7D27"/>
    <w:rsid w:val="26457B71"/>
    <w:rsid w:val="27082C6B"/>
    <w:rsid w:val="272A2BE1"/>
    <w:rsid w:val="279B3392"/>
    <w:rsid w:val="279D1605"/>
    <w:rsid w:val="28091EE7"/>
    <w:rsid w:val="28C50E13"/>
    <w:rsid w:val="290E1F1C"/>
    <w:rsid w:val="2A0C4820"/>
    <w:rsid w:val="2A570191"/>
    <w:rsid w:val="2A754BDC"/>
    <w:rsid w:val="2ACD2A82"/>
    <w:rsid w:val="2ACD6D64"/>
    <w:rsid w:val="2B090037"/>
    <w:rsid w:val="2B317534"/>
    <w:rsid w:val="2BD97279"/>
    <w:rsid w:val="2C4A0702"/>
    <w:rsid w:val="2D5075B9"/>
    <w:rsid w:val="2E544720"/>
    <w:rsid w:val="2F4F4FED"/>
    <w:rsid w:val="2FC57C66"/>
    <w:rsid w:val="2FCB693B"/>
    <w:rsid w:val="2FCF72A1"/>
    <w:rsid w:val="30183F1E"/>
    <w:rsid w:val="304912B9"/>
    <w:rsid w:val="306D1203"/>
    <w:rsid w:val="312312C2"/>
    <w:rsid w:val="318B6947"/>
    <w:rsid w:val="327318E0"/>
    <w:rsid w:val="32D40438"/>
    <w:rsid w:val="330A4A2A"/>
    <w:rsid w:val="33486942"/>
    <w:rsid w:val="33BC5300"/>
    <w:rsid w:val="34401FC8"/>
    <w:rsid w:val="34532BF9"/>
    <w:rsid w:val="346911EC"/>
    <w:rsid w:val="353054DF"/>
    <w:rsid w:val="358838F4"/>
    <w:rsid w:val="35FBCCAB"/>
    <w:rsid w:val="36574F8C"/>
    <w:rsid w:val="368052FA"/>
    <w:rsid w:val="373E4850"/>
    <w:rsid w:val="37444E1E"/>
    <w:rsid w:val="37A53EEE"/>
    <w:rsid w:val="37C134DB"/>
    <w:rsid w:val="37D45036"/>
    <w:rsid w:val="37F993D7"/>
    <w:rsid w:val="388B7151"/>
    <w:rsid w:val="3A7B60FF"/>
    <w:rsid w:val="3A9C505E"/>
    <w:rsid w:val="3AEF23CA"/>
    <w:rsid w:val="3B903503"/>
    <w:rsid w:val="3C3C3675"/>
    <w:rsid w:val="3C7A386B"/>
    <w:rsid w:val="3DB57251"/>
    <w:rsid w:val="3DE34311"/>
    <w:rsid w:val="3E453A95"/>
    <w:rsid w:val="3E945651"/>
    <w:rsid w:val="403A6A04"/>
    <w:rsid w:val="40DE5C2D"/>
    <w:rsid w:val="41D10249"/>
    <w:rsid w:val="421454BF"/>
    <w:rsid w:val="42A821B3"/>
    <w:rsid w:val="42AB2FCB"/>
    <w:rsid w:val="42F50B3E"/>
    <w:rsid w:val="438324EF"/>
    <w:rsid w:val="43C146B4"/>
    <w:rsid w:val="444141BE"/>
    <w:rsid w:val="44E96829"/>
    <w:rsid w:val="45AB121B"/>
    <w:rsid w:val="46707BFD"/>
    <w:rsid w:val="476820F7"/>
    <w:rsid w:val="479779C7"/>
    <w:rsid w:val="48081C48"/>
    <w:rsid w:val="48174664"/>
    <w:rsid w:val="48D17CD8"/>
    <w:rsid w:val="49FA20E3"/>
    <w:rsid w:val="4A1C41B3"/>
    <w:rsid w:val="4A6A6D04"/>
    <w:rsid w:val="4AF1011D"/>
    <w:rsid w:val="4B1D5AC2"/>
    <w:rsid w:val="4B4E0310"/>
    <w:rsid w:val="4B882DD1"/>
    <w:rsid w:val="4B920BD1"/>
    <w:rsid w:val="4BE86A43"/>
    <w:rsid w:val="4BEA1840"/>
    <w:rsid w:val="4CC45329"/>
    <w:rsid w:val="4CF21BC0"/>
    <w:rsid w:val="4CF54864"/>
    <w:rsid w:val="4DC95CD6"/>
    <w:rsid w:val="4DFE8238"/>
    <w:rsid w:val="4E8342BB"/>
    <w:rsid w:val="4EA73FF2"/>
    <w:rsid w:val="4ECF7A46"/>
    <w:rsid w:val="4EFB1495"/>
    <w:rsid w:val="4F3DFC06"/>
    <w:rsid w:val="4F712DB4"/>
    <w:rsid w:val="4FA522F5"/>
    <w:rsid w:val="4FAE377C"/>
    <w:rsid w:val="50306C0B"/>
    <w:rsid w:val="50FB5D32"/>
    <w:rsid w:val="513141D1"/>
    <w:rsid w:val="51864166"/>
    <w:rsid w:val="519A433C"/>
    <w:rsid w:val="51F9664C"/>
    <w:rsid w:val="537F30B6"/>
    <w:rsid w:val="53A167A1"/>
    <w:rsid w:val="53EC1861"/>
    <w:rsid w:val="53F26EFA"/>
    <w:rsid w:val="54450344"/>
    <w:rsid w:val="54D37E9A"/>
    <w:rsid w:val="55A36BA7"/>
    <w:rsid w:val="56976198"/>
    <w:rsid w:val="57435475"/>
    <w:rsid w:val="5777389B"/>
    <w:rsid w:val="57ED0D75"/>
    <w:rsid w:val="57F558AC"/>
    <w:rsid w:val="58FEB18F"/>
    <w:rsid w:val="59292657"/>
    <w:rsid w:val="593C217C"/>
    <w:rsid w:val="594D4AB9"/>
    <w:rsid w:val="59C46F34"/>
    <w:rsid w:val="59EEFEB2"/>
    <w:rsid w:val="5A0D54B9"/>
    <w:rsid w:val="5A1758A5"/>
    <w:rsid w:val="5A9818BE"/>
    <w:rsid w:val="5B0373F5"/>
    <w:rsid w:val="5B18117D"/>
    <w:rsid w:val="5B28114D"/>
    <w:rsid w:val="5BFB7F44"/>
    <w:rsid w:val="5CEE4637"/>
    <w:rsid w:val="5CFB3ED2"/>
    <w:rsid w:val="5D6765C8"/>
    <w:rsid w:val="5DF65035"/>
    <w:rsid w:val="5E2361C0"/>
    <w:rsid w:val="6052399E"/>
    <w:rsid w:val="60F424BF"/>
    <w:rsid w:val="60F435AF"/>
    <w:rsid w:val="61B909BD"/>
    <w:rsid w:val="61E20064"/>
    <w:rsid w:val="620A1CCF"/>
    <w:rsid w:val="62233ED9"/>
    <w:rsid w:val="62255FBB"/>
    <w:rsid w:val="625329B4"/>
    <w:rsid w:val="62A7218D"/>
    <w:rsid w:val="64006A4C"/>
    <w:rsid w:val="6429050D"/>
    <w:rsid w:val="64512ACB"/>
    <w:rsid w:val="6568514A"/>
    <w:rsid w:val="65CB7084"/>
    <w:rsid w:val="667F6342"/>
    <w:rsid w:val="66B56591"/>
    <w:rsid w:val="673C6922"/>
    <w:rsid w:val="67654716"/>
    <w:rsid w:val="67DB0571"/>
    <w:rsid w:val="687C10BA"/>
    <w:rsid w:val="68AC2EBA"/>
    <w:rsid w:val="6A420834"/>
    <w:rsid w:val="6A520D7C"/>
    <w:rsid w:val="6AF1726A"/>
    <w:rsid w:val="6B1D1B77"/>
    <w:rsid w:val="6B7C1703"/>
    <w:rsid w:val="6BDD06B9"/>
    <w:rsid w:val="6BFE7B9D"/>
    <w:rsid w:val="6CBA445B"/>
    <w:rsid w:val="6CC52349"/>
    <w:rsid w:val="6DE56F99"/>
    <w:rsid w:val="6E081D95"/>
    <w:rsid w:val="6EC50B59"/>
    <w:rsid w:val="6F552FB4"/>
    <w:rsid w:val="70771CC8"/>
    <w:rsid w:val="70934920"/>
    <w:rsid w:val="70E1568B"/>
    <w:rsid w:val="71B218F2"/>
    <w:rsid w:val="723143F0"/>
    <w:rsid w:val="73165394"/>
    <w:rsid w:val="732353C8"/>
    <w:rsid w:val="7352280C"/>
    <w:rsid w:val="7372F809"/>
    <w:rsid w:val="73FC76BC"/>
    <w:rsid w:val="742835D1"/>
    <w:rsid w:val="7476433D"/>
    <w:rsid w:val="747A3E40"/>
    <w:rsid w:val="753C37D8"/>
    <w:rsid w:val="757F0B9D"/>
    <w:rsid w:val="75F46253"/>
    <w:rsid w:val="764449B0"/>
    <w:rsid w:val="76FBAD63"/>
    <w:rsid w:val="77A262FE"/>
    <w:rsid w:val="77A91DEF"/>
    <w:rsid w:val="77B57486"/>
    <w:rsid w:val="77DE2925"/>
    <w:rsid w:val="77E30266"/>
    <w:rsid w:val="77EF2A47"/>
    <w:rsid w:val="77EF302A"/>
    <w:rsid w:val="78CD2734"/>
    <w:rsid w:val="79BE14A8"/>
    <w:rsid w:val="79E26DE3"/>
    <w:rsid w:val="79FC2B19"/>
    <w:rsid w:val="7AA533AA"/>
    <w:rsid w:val="7B000C42"/>
    <w:rsid w:val="7BAE7724"/>
    <w:rsid w:val="7BBE5399"/>
    <w:rsid w:val="7BC056E5"/>
    <w:rsid w:val="7BFBAB20"/>
    <w:rsid w:val="7BFF6AD1"/>
    <w:rsid w:val="7C480CB4"/>
    <w:rsid w:val="7C7A136A"/>
    <w:rsid w:val="7C81406C"/>
    <w:rsid w:val="7CBD046C"/>
    <w:rsid w:val="7D0C720F"/>
    <w:rsid w:val="7D1F7F50"/>
    <w:rsid w:val="7D3A3F11"/>
    <w:rsid w:val="7D576338"/>
    <w:rsid w:val="7D8D6374"/>
    <w:rsid w:val="7D99D27D"/>
    <w:rsid w:val="7DF05160"/>
    <w:rsid w:val="7DFEFF2F"/>
    <w:rsid w:val="7E061F65"/>
    <w:rsid w:val="7E13739C"/>
    <w:rsid w:val="7E1D4830"/>
    <w:rsid w:val="7E99310B"/>
    <w:rsid w:val="7EC81C39"/>
    <w:rsid w:val="7EDE320A"/>
    <w:rsid w:val="7EF711E3"/>
    <w:rsid w:val="7EFF231E"/>
    <w:rsid w:val="7F3A5292"/>
    <w:rsid w:val="7F3F7904"/>
    <w:rsid w:val="7F5D1F50"/>
    <w:rsid w:val="7F8769D4"/>
    <w:rsid w:val="7F8F62CD"/>
    <w:rsid w:val="7FFD89D4"/>
    <w:rsid w:val="89B1637A"/>
    <w:rsid w:val="ADE32135"/>
    <w:rsid w:val="BADFD841"/>
    <w:rsid w:val="BFF1C210"/>
    <w:rsid w:val="CA052F76"/>
    <w:rsid w:val="CEF99C72"/>
    <w:rsid w:val="CF35DFC8"/>
    <w:rsid w:val="D6FD0DC3"/>
    <w:rsid w:val="DFB7E978"/>
    <w:rsid w:val="EEFE7B7C"/>
    <w:rsid w:val="F3E7C4DA"/>
    <w:rsid w:val="F5DD9231"/>
    <w:rsid w:val="F74F3218"/>
    <w:rsid w:val="F7E3DDD7"/>
    <w:rsid w:val="FAFE0CA2"/>
    <w:rsid w:val="FEF3F098"/>
    <w:rsid w:val="FFB7F0CB"/>
    <w:rsid w:val="FFBDC05D"/>
    <w:rsid w:val="FFFE141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tabs>
        <w:tab w:val="left" w:pos="360"/>
        <w:tab w:val="left" w:pos="1440"/>
      </w:tabs>
      <w:spacing w:before="340" w:after="330" w:line="578" w:lineRule="atLeast"/>
      <w:ind w:left="360" w:hanging="360"/>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7"/>
    <w:semiHidden/>
    <w:unhideWhenUsed/>
    <w:qFormat/>
    <w:uiPriority w:val="99"/>
    <w:pPr>
      <w:jc w:val="left"/>
    </w:pPr>
  </w:style>
  <w:style w:type="paragraph" w:styleId="4">
    <w:name w:val="Balloon Text"/>
    <w:basedOn w:val="1"/>
    <w:link w:val="28"/>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qFormat/>
    <w:uiPriority w:val="0"/>
    <w:rPr>
      <w:sz w:val="16"/>
      <w:szCs w:val="16"/>
    </w:rPr>
  </w:style>
  <w:style w:type="character" w:customStyle="1" w:styleId="11">
    <w:name w:val="标题 1 Char"/>
    <w:link w:val="2"/>
    <w:qFormat/>
    <w:uiPriority w:val="0"/>
    <w:rPr>
      <w:rFonts w:ascii="Calibri" w:hAnsi="Calibri" w:eastAsia="宋体" w:cs="Times New Roman"/>
      <w:b/>
      <w:bCs/>
      <w:kern w:val="44"/>
      <w:sz w:val="44"/>
      <w:szCs w:val="44"/>
    </w:rPr>
  </w:style>
  <w:style w:type="character" w:customStyle="1" w:styleId="12">
    <w:name w:val="页脚 Char"/>
    <w:link w:val="5"/>
    <w:semiHidden/>
    <w:qFormat/>
    <w:uiPriority w:val="99"/>
    <w:rPr>
      <w:sz w:val="18"/>
      <w:szCs w:val="18"/>
    </w:rPr>
  </w:style>
  <w:style w:type="character" w:customStyle="1" w:styleId="13">
    <w:name w:val="页眉 Char"/>
    <w:link w:val="6"/>
    <w:semiHidden/>
    <w:qFormat/>
    <w:uiPriority w:val="99"/>
    <w:rPr>
      <w:sz w:val="18"/>
      <w:szCs w:val="18"/>
    </w:rPr>
  </w:style>
  <w:style w:type="character" w:customStyle="1" w:styleId="14">
    <w:name w:val="纯文本 Char_0"/>
    <w:link w:val="15"/>
    <w:qFormat/>
    <w:locked/>
    <w:uiPriority w:val="0"/>
    <w:rPr>
      <w:rFonts w:ascii="宋体" w:hAnsi="宋体"/>
      <w:kern w:val="2"/>
      <w:sz w:val="21"/>
      <w:szCs w:val="22"/>
      <w:lang w:val="en-US" w:eastAsia="zh-CN" w:bidi="ar-SA"/>
    </w:rPr>
  </w:style>
  <w:style w:type="paragraph" w:customStyle="1" w:styleId="15">
    <w:name w:val="纯文本_0"/>
    <w:link w:val="14"/>
    <w:qFormat/>
    <w:uiPriority w:val="0"/>
    <w:pPr>
      <w:widowControl w:val="0"/>
      <w:adjustRightInd w:val="0"/>
      <w:spacing w:line="360" w:lineRule="atLeast"/>
      <w:jc w:val="both"/>
    </w:pPr>
    <w:rPr>
      <w:rFonts w:ascii="宋体" w:hAnsi="宋体" w:eastAsia="宋体" w:cs="Times New Roman"/>
      <w:kern w:val="2"/>
      <w:sz w:val="21"/>
      <w:szCs w:val="22"/>
      <w:lang w:val="en-US" w:eastAsia="zh-CN" w:bidi="ar-SA"/>
    </w:rPr>
  </w:style>
  <w:style w:type="paragraph" w:customStyle="1" w:styleId="16">
    <w:name w:val="正文_0"/>
    <w:qFormat/>
    <w:uiPriority w:val="0"/>
    <w:pPr>
      <w:widowControl w:val="0"/>
      <w:spacing w:line="520" w:lineRule="exact"/>
      <w:jc w:val="both"/>
    </w:pPr>
    <w:rPr>
      <w:rFonts w:ascii="Times New Roman" w:hAnsi="Times New Roman" w:eastAsia="仿宋_GB2312" w:cs="Times New Roman"/>
      <w:kern w:val="2"/>
      <w:sz w:val="21"/>
      <w:szCs w:val="22"/>
      <w:lang w:val="en-US" w:eastAsia="zh-CN" w:bidi="ar-SA"/>
    </w:rPr>
  </w:style>
  <w:style w:type="character" w:customStyle="1" w:styleId="17">
    <w:name w:val="正文缩进 Char"/>
    <w:link w:val="18"/>
    <w:qFormat/>
    <w:locked/>
    <w:uiPriority w:val="0"/>
    <w:rPr>
      <w:szCs w:val="24"/>
    </w:rPr>
  </w:style>
  <w:style w:type="paragraph" w:customStyle="1" w:styleId="18">
    <w:name w:val="正文缩进_0"/>
    <w:basedOn w:val="16"/>
    <w:link w:val="17"/>
    <w:qFormat/>
    <w:uiPriority w:val="0"/>
    <w:pPr>
      <w:widowControl/>
      <w:spacing w:line="240" w:lineRule="auto"/>
      <w:ind w:firstLine="420" w:firstLineChars="200"/>
      <w:jc w:val="left"/>
    </w:pPr>
    <w:rPr>
      <w:rFonts w:ascii="Calibri" w:hAnsi="Calibri" w:eastAsia="宋体"/>
      <w:kern w:val="0"/>
      <w:sz w:val="20"/>
      <w:szCs w:val="24"/>
    </w:rPr>
  </w:style>
  <w:style w:type="paragraph" w:customStyle="1" w:styleId="19">
    <w:name w:val="标题 2_0"/>
    <w:basedOn w:val="16"/>
    <w:next w:val="16"/>
    <w:link w:val="20"/>
    <w:qFormat/>
    <w:uiPriority w:val="9"/>
    <w:pPr>
      <w:keepNext/>
      <w:keepLines/>
      <w:spacing w:before="260" w:after="260" w:line="416" w:lineRule="atLeast"/>
      <w:outlineLvl w:val="1"/>
    </w:pPr>
    <w:rPr>
      <w:rFonts w:ascii="Cambria" w:hAnsi="Cambria"/>
      <w:b/>
      <w:bCs/>
      <w:kern w:val="0"/>
      <w:sz w:val="32"/>
      <w:szCs w:val="32"/>
    </w:rPr>
  </w:style>
  <w:style w:type="character" w:customStyle="1" w:styleId="20">
    <w:name w:val="标题 2 Char_0"/>
    <w:link w:val="19"/>
    <w:qFormat/>
    <w:locked/>
    <w:uiPriority w:val="9"/>
    <w:rPr>
      <w:rFonts w:ascii="Cambria" w:hAnsi="Cambria" w:eastAsia="仿宋_GB2312" w:cs="Times New Roman"/>
      <w:b/>
      <w:bCs/>
      <w:sz w:val="32"/>
      <w:szCs w:val="32"/>
    </w:rPr>
  </w:style>
  <w:style w:type="character" w:customStyle="1" w:styleId="21">
    <w:name w:val="标题 3 Char_0"/>
    <w:link w:val="22"/>
    <w:qFormat/>
    <w:uiPriority w:val="9"/>
    <w:rPr>
      <w:b/>
      <w:bCs/>
      <w:sz w:val="32"/>
      <w:szCs w:val="32"/>
    </w:rPr>
  </w:style>
  <w:style w:type="paragraph" w:customStyle="1" w:styleId="22">
    <w:name w:val="标题 3_0"/>
    <w:basedOn w:val="16"/>
    <w:next w:val="16"/>
    <w:link w:val="21"/>
    <w:unhideWhenUsed/>
    <w:qFormat/>
    <w:uiPriority w:val="9"/>
    <w:pPr>
      <w:keepNext/>
      <w:keepLines/>
      <w:spacing w:before="260" w:after="260" w:line="416" w:lineRule="atLeast"/>
      <w:outlineLvl w:val="2"/>
    </w:pPr>
    <w:rPr>
      <w:rFonts w:ascii="Calibri" w:hAnsi="Calibri" w:eastAsia="宋体"/>
      <w:b/>
      <w:bCs/>
      <w:kern w:val="0"/>
      <w:sz w:val="32"/>
      <w:szCs w:val="32"/>
    </w:rPr>
  </w:style>
  <w:style w:type="character" w:customStyle="1" w:styleId="23">
    <w:name w:val="标题 4 Char_0"/>
    <w:link w:val="24"/>
    <w:qFormat/>
    <w:uiPriority w:val="9"/>
    <w:rPr>
      <w:rFonts w:ascii="Cambria" w:hAnsi="Cambria"/>
      <w:b/>
      <w:bCs/>
      <w:sz w:val="28"/>
      <w:szCs w:val="28"/>
    </w:rPr>
  </w:style>
  <w:style w:type="paragraph" w:customStyle="1" w:styleId="24">
    <w:name w:val="标题 4_0"/>
    <w:basedOn w:val="16"/>
    <w:next w:val="16"/>
    <w:link w:val="23"/>
    <w:unhideWhenUsed/>
    <w:qFormat/>
    <w:uiPriority w:val="9"/>
    <w:pPr>
      <w:keepNext/>
      <w:keepLines/>
      <w:spacing w:before="280" w:after="290" w:line="376" w:lineRule="atLeast"/>
      <w:outlineLvl w:val="3"/>
    </w:pPr>
    <w:rPr>
      <w:rFonts w:ascii="Cambria" w:hAnsi="Cambria" w:eastAsia="宋体"/>
      <w:b/>
      <w:bCs/>
      <w:kern w:val="0"/>
      <w:sz w:val="28"/>
      <w:szCs w:val="28"/>
    </w:rPr>
  </w:style>
  <w:style w:type="paragraph" w:customStyle="1" w:styleId="25">
    <w:name w:val="正文_0_0_0"/>
    <w:basedOn w:val="1"/>
    <w:qFormat/>
    <w:uiPriority w:val="0"/>
    <w:rPr>
      <w:rFonts w:ascii="Times New Roman" w:hAnsi="Times New Roman"/>
      <w:szCs w:val="21"/>
      <w:lang w:eastAsia="en-US"/>
    </w:rPr>
  </w:style>
  <w:style w:type="paragraph" w:customStyle="1" w:styleId="26">
    <w:name w:val="正文_0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27">
    <w:name w:val="批注文字 Char"/>
    <w:link w:val="3"/>
    <w:semiHidden/>
    <w:qFormat/>
    <w:uiPriority w:val="99"/>
    <w:rPr>
      <w:kern w:val="2"/>
      <w:sz w:val="21"/>
      <w:szCs w:val="22"/>
      <w:lang w:eastAsia="zh-CN"/>
    </w:rPr>
  </w:style>
  <w:style w:type="character" w:customStyle="1" w:styleId="28">
    <w:name w:val="批注框文本 Char"/>
    <w:link w:val="4"/>
    <w:semiHidden/>
    <w:qFormat/>
    <w:uiPriority w:val="99"/>
    <w:rPr>
      <w:kern w:val="2"/>
      <w:sz w:val="18"/>
      <w:szCs w:val="18"/>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1956</Words>
  <Characters>2130</Characters>
  <Lines>96</Lines>
  <Paragraphs>27</Paragraphs>
  <TotalTime>0</TotalTime>
  <ScaleCrop>false</ScaleCrop>
  <LinksUpToDate>false</LinksUpToDate>
  <CharactersWithSpaces>2851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2022-05-31T08:10:00Z</dcterms:created>
  <dc:creator>PC</dc:creator>
  <cp:lastModifiedBy>炜</cp:lastModifiedBy>
  <cp:lastPrinted>2026-07-26T07:29:00Z</cp:lastPrinted>
  <dcterms:modified xsi:type="dcterms:W3CDTF">2026-09-03T13:10:34Z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1EDA83BE54754639A4266B9AC2FA9BD0_13</vt:lpwstr>
  </property>
  <property fmtid="{D5CDD505-2E9C-101B-9397-08002B2CF9AE}" pid="3" name="KSOProductBuildVer">
    <vt:lpwstr>2052-12.1.0.28043</vt:lpwstr>
  </property>
  <property fmtid="{D5CDD505-2E9C-101B-9397-08002B2CF9AE}" pid="4" name="KSOTemplateDocerSaveRecord">
    <vt:lpwstr>eyJoZGlkIjoiYjhhYjg0YjBjZGFhMjFjZjg3YjY1ODBkNDEwZmE3NjYiLCJ1c2VySWQiOiI2OTY4NTU2NzIifQ==</vt:lpwstr>
  </property>
</Properties>
</file>