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hint="eastAsia" w:ascii="仿宋" w:hAnsi="仿宋" w:eastAsia="仿宋"/>
          <w:b w:val="0"/>
          <w:bCs/>
          <w:color w:val="auto"/>
          <w:sz w:val="32"/>
          <w:szCs w:val="32"/>
          <w:lang w:val="en-US" w:eastAsia="zh-CN"/>
        </w:rPr>
      </w:pPr>
      <w:r>
        <w:rPr>
          <w:rFonts w:hint="eastAsia" w:ascii="仿宋" w:hAnsi="仿宋" w:eastAsia="仿宋"/>
          <w:b w:val="0"/>
          <w:bCs/>
          <w:color w:val="auto"/>
          <w:sz w:val="32"/>
          <w:szCs w:val="32"/>
        </w:rPr>
        <w:t>附件</w:t>
      </w:r>
      <w:r>
        <w:rPr>
          <w:rFonts w:hint="eastAsia" w:ascii="仿宋" w:hAnsi="仿宋" w:eastAsia="仿宋"/>
          <w:b w:val="0"/>
          <w:bCs/>
          <w:color w:val="auto"/>
          <w:sz w:val="32"/>
          <w:szCs w:val="32"/>
          <w:lang w:val="en-US" w:eastAsia="zh-CN"/>
        </w:rPr>
        <w:t>3</w:t>
      </w:r>
    </w:p>
    <w:p>
      <w:pPr>
        <w:spacing w:line="520" w:lineRule="exact"/>
        <w:jc w:val="center"/>
        <w:rPr>
          <w:rFonts w:hint="eastAsia" w:ascii="方正小标宋简体" w:eastAsia="方正小标宋简体"/>
          <w:bCs/>
          <w:sz w:val="44"/>
          <w:szCs w:val="44"/>
        </w:rPr>
      </w:pPr>
    </w:p>
    <w:p>
      <w:pPr>
        <w:spacing w:line="520" w:lineRule="exact"/>
        <w:jc w:val="center"/>
        <w:rPr>
          <w:rFonts w:ascii="方正小标宋简体" w:eastAsia="方正小标宋简体"/>
          <w:bCs/>
          <w:sz w:val="44"/>
          <w:szCs w:val="44"/>
        </w:rPr>
      </w:pPr>
      <w:r>
        <w:rPr>
          <w:rFonts w:hint="eastAsia" w:ascii="方正小标宋简体" w:eastAsia="方正小标宋简体"/>
          <w:bCs/>
          <w:sz w:val="44"/>
          <w:szCs w:val="44"/>
        </w:rPr>
        <w:t>龙岩市</w:t>
      </w:r>
      <w:r>
        <w:rPr>
          <w:rFonts w:ascii="方正小标宋简体" w:eastAsia="方正小标宋简体"/>
          <w:bCs/>
          <w:sz w:val="44"/>
          <w:szCs w:val="44"/>
        </w:rPr>
        <w:t>城市管理局</w:t>
      </w:r>
    </w:p>
    <w:p>
      <w:pPr>
        <w:spacing w:line="520" w:lineRule="exact"/>
        <w:jc w:val="center"/>
        <w:rPr>
          <w:rFonts w:ascii="方正小标宋简体" w:eastAsia="方正小标宋简体"/>
          <w:sz w:val="44"/>
          <w:szCs w:val="44"/>
        </w:rPr>
      </w:pPr>
      <w:r>
        <w:rPr>
          <w:rFonts w:hint="eastAsia" w:ascii="方正小标宋简体" w:eastAsia="方正小标宋简体"/>
          <w:bCs/>
          <w:sz w:val="44"/>
          <w:szCs w:val="44"/>
        </w:rPr>
        <w:t>关于《行政处罚自由裁量权适用规则（</w:t>
      </w:r>
      <w:r>
        <w:rPr>
          <w:rFonts w:hint="eastAsia" w:ascii="方正小标宋简体" w:eastAsia="方正小标宋简体"/>
          <w:bCs/>
          <w:sz w:val="44"/>
          <w:szCs w:val="44"/>
          <w:lang w:eastAsia="zh-CN"/>
        </w:rPr>
        <w:t>修订</w:t>
      </w:r>
      <w:r>
        <w:rPr>
          <w:rFonts w:hint="eastAsia" w:ascii="方正小标宋简体" w:eastAsia="方正小标宋简体"/>
          <w:bCs/>
          <w:sz w:val="44"/>
          <w:szCs w:val="44"/>
        </w:rPr>
        <w:t>征求意见稿）》和《行政处罚自由裁量权基准（</w:t>
      </w:r>
      <w:r>
        <w:rPr>
          <w:rFonts w:hint="eastAsia" w:ascii="方正小标宋简体" w:eastAsia="方正小标宋简体"/>
          <w:bCs/>
          <w:sz w:val="44"/>
          <w:szCs w:val="44"/>
          <w:lang w:eastAsia="zh-CN"/>
        </w:rPr>
        <w:t>修订</w:t>
      </w:r>
      <w:r>
        <w:rPr>
          <w:rFonts w:hint="eastAsia" w:ascii="方正小标宋简体" w:eastAsia="方正小标宋简体"/>
          <w:bCs/>
          <w:sz w:val="44"/>
          <w:szCs w:val="44"/>
        </w:rPr>
        <w:t>征求意见稿）》</w:t>
      </w:r>
      <w:r>
        <w:rPr>
          <w:rFonts w:hint="eastAsia" w:ascii="方正小标宋简体" w:eastAsia="方正小标宋简体"/>
          <w:sz w:val="44"/>
          <w:szCs w:val="44"/>
        </w:rPr>
        <w:t>的起草说明</w:t>
      </w:r>
    </w:p>
    <w:p>
      <w:pPr>
        <w:spacing w:line="520" w:lineRule="exact"/>
        <w:ind w:firstLine="640" w:firstLineChars="200"/>
        <w:rPr>
          <w:rFonts w:ascii="仿宋_GB2312" w:hAnsi="仿宋_GB2312" w:eastAsia="仿宋_GB2312" w:cs="仿宋_GB2312"/>
          <w:sz w:val="32"/>
          <w:szCs w:val="32"/>
        </w:rPr>
      </w:pP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为深入贯彻习近平法治思想，严格施行《中华人民共和国行政处罚法》《福建省行政执法条例》有关规定，</w:t>
      </w:r>
      <w:r>
        <w:rPr>
          <w:rFonts w:hint="eastAsia" w:ascii="仿宋_GB2312" w:hAnsi="仿宋_GB2312" w:eastAsia="仿宋_GB2312" w:cs="仿宋_GB2312"/>
          <w:sz w:val="32"/>
          <w:szCs w:val="32"/>
          <w:lang w:eastAsia="zh-CN"/>
        </w:rPr>
        <w:t>持续推进依法行政，进一步规范我局</w:t>
      </w:r>
      <w:r>
        <w:rPr>
          <w:rFonts w:hint="eastAsia" w:ascii="仿宋_GB2312" w:hAnsi="仿宋_GB2312" w:eastAsia="仿宋_GB2312" w:cs="仿宋_GB2312"/>
          <w:sz w:val="32"/>
          <w:szCs w:val="32"/>
        </w:rPr>
        <w:t>行政处罚行为，</w:t>
      </w:r>
      <w:r>
        <w:rPr>
          <w:rFonts w:hint="eastAsia" w:ascii="仿宋_GB2312" w:hAnsi="仿宋_GB2312" w:eastAsia="仿宋_GB2312" w:cs="仿宋_GB2312"/>
          <w:sz w:val="32"/>
          <w:szCs w:val="32"/>
          <w:lang w:eastAsia="zh-CN"/>
        </w:rPr>
        <w:t>我局结合新颁布</w:t>
      </w:r>
      <w:r>
        <w:rPr>
          <w:rFonts w:hint="eastAsia" w:ascii="仿宋_GB2312" w:hAnsi="仿宋_GB2312" w:eastAsia="仿宋_GB2312" w:cs="仿宋_GB2312"/>
          <w:color w:val="auto"/>
          <w:sz w:val="32"/>
          <w:szCs w:val="32"/>
          <w:lang w:val="en-US" w:eastAsia="zh-CN"/>
        </w:rPr>
        <w:t>城市管理领域</w:t>
      </w:r>
      <w:r>
        <w:rPr>
          <w:rFonts w:hint="eastAsia" w:ascii="仿宋_GB2312" w:hAnsi="仿宋_GB2312" w:eastAsia="仿宋_GB2312" w:cs="仿宋_GB2312"/>
          <w:sz w:val="32"/>
          <w:szCs w:val="32"/>
          <w:lang w:eastAsia="zh-CN"/>
        </w:rPr>
        <w:t>法规及权责清单</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起草了《行政处罚自由裁量权适用规则（</w:t>
      </w:r>
      <w:r>
        <w:rPr>
          <w:rFonts w:hint="eastAsia" w:ascii="仿宋_GB2312" w:hAnsi="仿宋_GB2312" w:eastAsia="仿宋_GB2312" w:cs="仿宋_GB2312"/>
          <w:bCs/>
          <w:sz w:val="32"/>
          <w:szCs w:val="32"/>
          <w:lang w:eastAsia="zh-CN"/>
        </w:rPr>
        <w:t>修订</w:t>
      </w:r>
      <w:r>
        <w:rPr>
          <w:rFonts w:hint="eastAsia" w:ascii="仿宋_GB2312" w:hAnsi="仿宋_GB2312" w:eastAsia="仿宋_GB2312" w:cs="仿宋_GB2312"/>
          <w:bCs/>
          <w:sz w:val="32"/>
          <w:szCs w:val="32"/>
        </w:rPr>
        <w:t>征求意见稿）》和《行政处罚自由裁量权基准（</w:t>
      </w:r>
      <w:r>
        <w:rPr>
          <w:rFonts w:hint="eastAsia" w:ascii="仿宋_GB2312" w:hAnsi="仿宋_GB2312" w:eastAsia="仿宋_GB2312" w:cs="仿宋_GB2312"/>
          <w:bCs/>
          <w:sz w:val="32"/>
          <w:szCs w:val="32"/>
          <w:lang w:eastAsia="zh-CN"/>
        </w:rPr>
        <w:t>修订</w:t>
      </w:r>
      <w:r>
        <w:rPr>
          <w:rFonts w:hint="eastAsia" w:ascii="仿宋_GB2312" w:hAnsi="仿宋_GB2312" w:eastAsia="仿宋_GB2312" w:cs="仿宋_GB2312"/>
          <w:bCs/>
          <w:sz w:val="32"/>
          <w:szCs w:val="32"/>
        </w:rPr>
        <w:t>征求意见稿）》</w:t>
      </w:r>
      <w:r>
        <w:rPr>
          <w:rFonts w:hint="eastAsia" w:ascii="仿宋_GB2312" w:hAnsi="仿宋_GB2312" w:eastAsia="仿宋_GB2312" w:cs="仿宋_GB2312"/>
          <w:sz w:val="32"/>
          <w:szCs w:val="32"/>
        </w:rPr>
        <w:t>。现将起草情况说明如下：</w:t>
      </w:r>
    </w:p>
    <w:p>
      <w:pPr>
        <w:spacing w:line="52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一、起草背景</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制定行政处罚自由裁量权标准是建设法治政府，全面推进依法行政的内在要求。自我局成立以来，我局行政处罚自由裁量权标准经历了2013年初次制定，2016年重新修订，2018年和2021年部分修订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2023年重新修订</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个阶段，对规范我局行政执法工作起到重要作用。我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年颁布施行的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行政处罚自由裁量权适用规则和基准》（龙城规〔20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号）</w:t>
      </w:r>
      <w:r>
        <w:rPr>
          <w:rFonts w:hint="eastAsia" w:ascii="仿宋_GB2312" w:hAnsi="仿宋_GB2312" w:eastAsia="仿宋_GB2312" w:cs="仿宋_GB2312"/>
          <w:sz w:val="32"/>
          <w:szCs w:val="32"/>
        </w:rPr>
        <w:t>，至今已</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年时间，期间相关法律法规规章及经济社会形势发生较大变化。在机构改革过程中，有关行政处罚职能也出现调整，原有</w:t>
      </w:r>
      <w:r>
        <w:rPr>
          <w:rFonts w:hint="eastAsia" w:ascii="仿宋_GB2312" w:hAnsi="仿宋_GB2312" w:eastAsia="仿宋_GB2312" w:cs="仿宋_GB2312"/>
          <w:sz w:val="32"/>
          <w:szCs w:val="32"/>
          <w:lang w:eastAsia="zh-CN"/>
        </w:rPr>
        <w:t>适用规则</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基</w:t>
      </w:r>
      <w:r>
        <w:rPr>
          <w:rFonts w:hint="eastAsia" w:ascii="仿宋_GB2312" w:hAnsi="仿宋_GB2312" w:eastAsia="仿宋_GB2312" w:cs="仿宋_GB2312"/>
          <w:sz w:val="32"/>
          <w:szCs w:val="32"/>
        </w:rPr>
        <w:t>准很多内容已不符合现行法律法规规定和实际情况。为适应城市管理行政执法工作的新形势、新要求，结合我局执法工作实践，有必要对我局行政处罚自由裁量权标准进行重新梳理完善。</w:t>
      </w:r>
    </w:p>
    <w:p>
      <w:pPr>
        <w:pStyle w:val="2"/>
        <w:spacing w:line="520" w:lineRule="exact"/>
        <w:rPr>
          <w:rFonts w:hint="default"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ascii="黑体" w:hAnsi="黑体" w:eastAsia="黑体" w:cs="黑体"/>
          <w:sz w:val="32"/>
          <w:szCs w:val="32"/>
        </w:rPr>
        <w:t xml:space="preserve">  </w:t>
      </w:r>
      <w:r>
        <w:rPr>
          <w:rFonts w:hint="eastAsia" w:ascii="黑体" w:hAnsi="黑体" w:eastAsia="黑体" w:cs="黑体"/>
          <w:sz w:val="32"/>
          <w:szCs w:val="32"/>
          <w:lang w:eastAsia="zh-CN"/>
        </w:rPr>
        <w:t>二</w:t>
      </w:r>
      <w:r>
        <w:rPr>
          <w:rFonts w:ascii="黑体" w:hAnsi="黑体" w:eastAsia="黑体" w:cs="黑体"/>
          <w:sz w:val="32"/>
          <w:szCs w:val="32"/>
        </w:rPr>
        <w:t>、</w:t>
      </w:r>
      <w:r>
        <w:rPr>
          <w:rFonts w:hint="eastAsia" w:ascii="黑体" w:hAnsi="黑体" w:eastAsia="黑体" w:cs="黑体"/>
          <w:sz w:val="32"/>
          <w:szCs w:val="32"/>
          <w:lang w:eastAsia="zh-CN"/>
        </w:rPr>
        <w:t>修订必要性及</w:t>
      </w:r>
      <w:r>
        <w:rPr>
          <w:rFonts w:ascii="黑体" w:hAnsi="黑体" w:eastAsia="黑体" w:cs="黑体"/>
          <w:sz w:val="32"/>
          <w:szCs w:val="32"/>
        </w:rPr>
        <w:t>依据</w:t>
      </w:r>
    </w:p>
    <w:p>
      <w:pPr>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一是根据</w:t>
      </w:r>
      <w:r>
        <w:rPr>
          <w:rFonts w:hint="default" w:ascii="仿宋_GB2312" w:hAnsi="仿宋_GB2312" w:eastAsia="仿宋_GB2312" w:cs="仿宋_GB2312"/>
          <w:sz w:val="32"/>
          <w:szCs w:val="32"/>
        </w:rPr>
        <w:t>《中共龙岩市委机构编制委员会办公室关于调整市城市管理局及龙岩市城市管理综合执法支队机构编制事项的通</w:t>
      </w:r>
      <w:r>
        <w:rPr>
          <w:rFonts w:hint="eastAsia" w:ascii="仿宋_GB2312" w:hAnsi="仿宋_GB2312" w:eastAsia="仿宋_GB2312" w:cs="仿宋_GB2312"/>
          <w:sz w:val="32"/>
          <w:szCs w:val="32"/>
        </w:rPr>
        <w:t>知》（岩委编办〔2024〕82号）</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《中共龙岩市委机构编制委员会办公室关于调整市城市管理局机构编制事项的通知》（岩委编办〔2024〕119号）</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自2024年6月20日起，</w:t>
      </w:r>
      <w:r>
        <w:rPr>
          <w:rFonts w:hint="eastAsia" w:ascii="仿宋_GB2312" w:hAnsi="仿宋_GB2312" w:eastAsia="仿宋_GB2312" w:cs="仿宋_GB2312"/>
          <w:sz w:val="32"/>
          <w:szCs w:val="32"/>
          <w:lang w:eastAsia="zh-CN"/>
        </w:rPr>
        <w:t>原集中由</w:t>
      </w:r>
      <w:r>
        <w:rPr>
          <w:rFonts w:hint="eastAsia" w:ascii="仿宋_GB2312" w:hAnsi="仿宋_GB2312" w:eastAsia="仿宋_GB2312" w:cs="仿宋_GB2312"/>
          <w:sz w:val="32"/>
          <w:szCs w:val="32"/>
        </w:rPr>
        <w:t>我局行使的</w:t>
      </w:r>
      <w:r>
        <w:rPr>
          <w:rFonts w:hint="eastAsia" w:ascii="仿宋_GB2312" w:hAnsi="仿宋_GB2312" w:eastAsia="仿宋_GB2312" w:cs="仿宋_GB2312"/>
          <w:sz w:val="32"/>
          <w:szCs w:val="32"/>
          <w:lang w:eastAsia="zh-CN"/>
        </w:rPr>
        <w:t>包括城乡</w:t>
      </w:r>
      <w:r>
        <w:rPr>
          <w:rFonts w:hint="eastAsia" w:ascii="仿宋_GB2312" w:hAnsi="仿宋_GB2312" w:eastAsia="仿宋_GB2312" w:cs="仿宋_GB2312"/>
          <w:sz w:val="32"/>
          <w:szCs w:val="32"/>
        </w:rPr>
        <w:t>规划</w:t>
      </w:r>
      <w:r>
        <w:rPr>
          <w:rFonts w:hint="eastAsia" w:ascii="仿宋_GB2312" w:hAnsi="仿宋_GB2312" w:eastAsia="仿宋_GB2312" w:cs="仿宋_GB2312"/>
          <w:sz w:val="32"/>
          <w:szCs w:val="32"/>
          <w:lang w:eastAsia="zh-CN"/>
        </w:rPr>
        <w:t>、土地管理在内的所有</w:t>
      </w:r>
      <w:r>
        <w:rPr>
          <w:rFonts w:hint="default" w:ascii="仿宋_GB2312" w:hAnsi="仿宋_GB2312" w:eastAsia="仿宋_GB2312" w:cs="仿宋_GB2312"/>
          <w:sz w:val="32"/>
          <w:szCs w:val="32"/>
          <w:lang w:eastAsia="zh-CN"/>
        </w:rPr>
        <w:t>根据法律法规规定及省政府授权行使相对集中处罚权</w:t>
      </w:r>
      <w:r>
        <w:rPr>
          <w:rFonts w:hint="eastAsia" w:ascii="仿宋_GB2312" w:hAnsi="仿宋_GB2312" w:eastAsia="仿宋_GB2312" w:cs="仿宋_GB2312"/>
          <w:sz w:val="32"/>
          <w:szCs w:val="32"/>
          <w:lang w:eastAsia="zh-CN"/>
        </w:rPr>
        <w:t>及相关执法人员</w:t>
      </w:r>
      <w:r>
        <w:rPr>
          <w:rFonts w:hint="eastAsia" w:ascii="仿宋_GB2312" w:hAnsi="仿宋_GB2312" w:eastAsia="仿宋_GB2312" w:cs="仿宋_GB2312"/>
          <w:sz w:val="32"/>
          <w:szCs w:val="32"/>
        </w:rPr>
        <w:t>下沉至新罗区</w:t>
      </w:r>
      <w:r>
        <w:rPr>
          <w:rFonts w:hint="eastAsia" w:ascii="仿宋_GB2312" w:hAnsi="仿宋_GB2312" w:eastAsia="仿宋_GB2312" w:cs="仿宋_GB2312"/>
          <w:sz w:val="32"/>
          <w:szCs w:val="32"/>
          <w:lang w:eastAsia="zh-CN"/>
        </w:rPr>
        <w:t>，由新罗区城市管理和综合执法局具体承接行使。故现根据</w:t>
      </w:r>
      <w:r>
        <w:rPr>
          <w:rFonts w:hint="eastAsia" w:ascii="仿宋_GB2312" w:hAnsi="仿宋_GB2312" w:eastAsia="仿宋_GB2312" w:cs="仿宋_GB2312"/>
          <w:sz w:val="32"/>
          <w:szCs w:val="32"/>
          <w:lang w:val="en-US" w:eastAsia="zh-CN"/>
        </w:rPr>
        <w:t>《龙岩市城市管理局关于调整公布权责清单的通知》（龙城〔2025〕198号）</w:t>
      </w:r>
      <w:r>
        <w:rPr>
          <w:rFonts w:hint="eastAsia" w:ascii="仿宋_GB2312" w:hAnsi="仿宋_GB2312" w:eastAsia="仿宋_GB2312" w:cs="仿宋_GB2312"/>
          <w:sz w:val="32"/>
          <w:szCs w:val="32"/>
          <w:lang w:eastAsia="zh-CN"/>
        </w:rPr>
        <w:t>删去自然资源、生态环保、</w:t>
      </w:r>
      <w:r>
        <w:rPr>
          <w:rFonts w:hint="eastAsia" w:ascii="仿宋_GB2312" w:hAnsi="仿宋_GB2312" w:eastAsia="仿宋_GB2312" w:cs="仿宋_GB2312"/>
          <w:sz w:val="32"/>
          <w:szCs w:val="32"/>
        </w:rPr>
        <w:t>文化市场</w:t>
      </w:r>
      <w:r>
        <w:rPr>
          <w:rFonts w:hint="eastAsia" w:ascii="仿宋_GB2312" w:hAnsi="仿宋_GB2312" w:eastAsia="仿宋_GB2312" w:cs="仿宋_GB2312"/>
          <w:sz w:val="32"/>
          <w:szCs w:val="32"/>
          <w:lang w:eastAsia="zh-CN"/>
        </w:rPr>
        <w:t>等原集中处罚权事项。</w:t>
      </w:r>
    </w:p>
    <w:p>
      <w:pPr>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二是结合新颁布法规，对</w:t>
      </w:r>
      <w:r>
        <w:rPr>
          <w:rFonts w:hint="eastAsia" w:ascii="仿宋_GB2312" w:hAnsi="仿宋_GB2312" w:eastAsia="仿宋_GB2312" w:cs="仿宋_GB2312"/>
          <w:sz w:val="32"/>
          <w:szCs w:val="32"/>
        </w:rPr>
        <w:t>《中华人民共和国生态环境法典》</w:t>
      </w:r>
      <w:r>
        <w:rPr>
          <w:rFonts w:hint="eastAsia" w:ascii="仿宋_GB2312" w:hAnsi="仿宋_GB2312" w:eastAsia="仿宋_GB2312" w:cs="仿宋_GB2312"/>
          <w:sz w:val="32"/>
          <w:szCs w:val="32"/>
          <w:lang w:eastAsia="zh-CN"/>
        </w:rPr>
        <w:t>《古树名木保护条例》《城市绿化条例》《福建省物业管理条例》《福建省固体废物污染环境防治条例》《龙岩市户外广告和招牌管理条例》《龙岩市电动自行车管理条例》《龙岩市中心城区经营性公共停车场管理办法》等法律法规部分裁量权基准进行动态调整。</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三是参照福建省住房和城乡建设厅印发的《福建省住房和城乡建设系统行政处罚裁量权基准（2025年版）》（闽建〔2025〕16号）并结合工作实际予以调整。</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严格施行2024年2月9日国务院《关于进一步规范和监督罚款设定与实施的指导意见》（国发〔2024〕5号）关于“要严格按照法律规定和违法事实实施罚款，不得随意给予顶格罚款或者高额罚款”的规定，在适用规则及裁量基准中予以修订完善。</w:t>
      </w:r>
    </w:p>
    <w:p>
      <w:pPr>
        <w:spacing w:line="520" w:lineRule="exact"/>
        <w:ind w:firstLine="960" w:firstLineChars="300"/>
        <w:rPr>
          <w:rFonts w:ascii="黑体" w:hAnsi="黑体" w:eastAsia="黑体" w:cs="黑体"/>
          <w:bCs/>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修订</w:t>
      </w:r>
      <w:r>
        <w:rPr>
          <w:rFonts w:hint="eastAsia" w:ascii="黑体" w:hAnsi="黑体" w:eastAsia="黑体" w:cs="黑体"/>
          <w:bCs/>
          <w:sz w:val="32"/>
          <w:szCs w:val="32"/>
        </w:rPr>
        <w:t>主要内容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行政</w:t>
      </w:r>
      <w:r>
        <w:rPr>
          <w:rFonts w:ascii="仿宋_GB2312" w:hAnsi="仿宋_GB2312" w:eastAsia="仿宋_GB2312" w:cs="仿宋_GB2312"/>
          <w:sz w:val="32"/>
          <w:szCs w:val="32"/>
        </w:rPr>
        <w:t>处罚自由裁量权标准由</w:t>
      </w:r>
      <w:r>
        <w:rPr>
          <w:rFonts w:hint="eastAsia" w:ascii="仿宋_GB2312" w:hAnsi="仿宋_GB2312" w:eastAsia="仿宋_GB2312" w:cs="仿宋_GB2312"/>
          <w:sz w:val="32"/>
          <w:szCs w:val="32"/>
        </w:rPr>
        <w:t>“适用</w:t>
      </w:r>
      <w:r>
        <w:rPr>
          <w:rFonts w:ascii="仿宋_GB2312" w:hAnsi="仿宋_GB2312" w:eastAsia="仿宋_GB2312" w:cs="仿宋_GB2312"/>
          <w:sz w:val="32"/>
          <w:szCs w:val="32"/>
        </w:rPr>
        <w:t>规则”</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裁量</w:t>
      </w:r>
      <w:r>
        <w:rPr>
          <w:rFonts w:ascii="仿宋_GB2312" w:hAnsi="仿宋_GB2312" w:eastAsia="仿宋_GB2312" w:cs="仿宋_GB2312"/>
          <w:sz w:val="32"/>
          <w:szCs w:val="32"/>
        </w:rPr>
        <w:t>基准”两部分组成</w:t>
      </w:r>
      <w:r>
        <w:rPr>
          <w:rFonts w:hint="eastAsia" w:ascii="仿宋_GB2312" w:hAnsi="仿宋_GB2312" w:eastAsia="仿宋_GB2312" w:cs="仿宋_GB2312"/>
          <w:sz w:val="32"/>
          <w:szCs w:val="32"/>
        </w:rPr>
        <w:t>。</w:t>
      </w:r>
    </w:p>
    <w:p>
      <w:pPr>
        <w:spacing w:line="520" w:lineRule="exact"/>
        <w:ind w:firstLine="640" w:firstLineChars="200"/>
        <w:rPr>
          <w:rFonts w:hint="eastAsia" w:ascii="仿宋_GB2312" w:hAnsi="仿宋" w:eastAsia="仿宋_GB2312" w:cs="黑体"/>
          <w:sz w:val="32"/>
          <w:szCs w:val="32"/>
          <w:lang w:eastAsia="zh-CN"/>
        </w:rPr>
      </w:pPr>
      <w:r>
        <w:rPr>
          <w:rFonts w:hint="eastAsia" w:ascii="楷体" w:hAnsi="楷体" w:eastAsia="楷体" w:cs="黑体"/>
          <w:sz w:val="32"/>
          <w:szCs w:val="32"/>
        </w:rPr>
        <w:t>（一</w:t>
      </w:r>
      <w:r>
        <w:rPr>
          <w:rFonts w:ascii="楷体" w:hAnsi="楷体" w:eastAsia="楷体" w:cs="黑体"/>
          <w:sz w:val="32"/>
          <w:szCs w:val="32"/>
        </w:rPr>
        <w:t>）</w:t>
      </w:r>
      <w:r>
        <w:rPr>
          <w:rFonts w:hint="eastAsia" w:ascii="楷体" w:hAnsi="楷体" w:eastAsia="楷体" w:cs="黑体"/>
          <w:sz w:val="32"/>
          <w:szCs w:val="32"/>
        </w:rPr>
        <w:t>适用</w:t>
      </w:r>
      <w:r>
        <w:rPr>
          <w:rFonts w:ascii="楷体" w:hAnsi="楷体" w:eastAsia="楷体" w:cs="黑体"/>
          <w:sz w:val="32"/>
          <w:szCs w:val="32"/>
        </w:rPr>
        <w:t>规则。</w:t>
      </w:r>
      <w:r>
        <w:rPr>
          <w:rFonts w:hint="eastAsia" w:ascii="仿宋_GB2312" w:hAnsi="仿宋" w:eastAsia="仿宋_GB2312" w:cs="黑体"/>
          <w:sz w:val="32"/>
          <w:szCs w:val="32"/>
          <w:lang w:eastAsia="zh-CN"/>
        </w:rPr>
        <w:t>调整后</w:t>
      </w:r>
      <w:r>
        <w:rPr>
          <w:rFonts w:hint="eastAsia" w:ascii="仿宋_GB2312" w:hAnsi="仿宋" w:eastAsia="仿宋_GB2312" w:cs="黑体"/>
          <w:sz w:val="32"/>
          <w:szCs w:val="32"/>
        </w:rPr>
        <w:t>共1</w:t>
      </w:r>
      <w:r>
        <w:rPr>
          <w:rFonts w:hint="eastAsia" w:ascii="仿宋_GB2312" w:hAnsi="仿宋" w:eastAsia="仿宋_GB2312" w:cs="黑体"/>
          <w:sz w:val="32"/>
          <w:szCs w:val="32"/>
          <w:lang w:val="en-US" w:eastAsia="zh-CN"/>
        </w:rPr>
        <w:t>4</w:t>
      </w:r>
      <w:r>
        <w:rPr>
          <w:rFonts w:hint="eastAsia" w:ascii="仿宋_GB2312" w:hAnsi="仿宋" w:eastAsia="仿宋_GB2312" w:cs="黑体"/>
          <w:sz w:val="32"/>
          <w:szCs w:val="32"/>
        </w:rPr>
        <w:t>条。</w:t>
      </w:r>
      <w:r>
        <w:rPr>
          <w:rFonts w:hint="eastAsia" w:ascii="仿宋_GB2312" w:hAnsi="仿宋" w:eastAsia="仿宋_GB2312" w:cs="黑体"/>
          <w:sz w:val="32"/>
          <w:szCs w:val="32"/>
          <w:lang w:eastAsia="zh-CN"/>
        </w:rPr>
        <w:t>重点强调裁量基准对应的违法情节及危害后果应有相应证据作为佐证，并在相关法律文书中按填写要求体现处罚裁量基准适用过程。</w:t>
      </w:r>
    </w:p>
    <w:p>
      <w:pPr>
        <w:spacing w:line="520" w:lineRule="exact"/>
        <w:ind w:firstLine="640" w:firstLineChars="200"/>
        <w:rPr>
          <w:rFonts w:hint="eastAsia" w:ascii="仿宋_GB2312" w:hAnsi="仿宋" w:eastAsia="仿宋_GB2312" w:cs="黑体"/>
          <w:sz w:val="32"/>
          <w:szCs w:val="32"/>
          <w:lang w:eastAsia="zh-CN"/>
        </w:rPr>
      </w:pPr>
      <w:r>
        <w:rPr>
          <w:rFonts w:hint="eastAsia" w:ascii="仿宋_GB2312" w:hAnsi="仿宋" w:eastAsia="仿宋_GB2312" w:cs="黑体"/>
          <w:sz w:val="32"/>
          <w:szCs w:val="32"/>
          <w:lang w:eastAsia="zh-CN"/>
        </w:rPr>
        <w:t>同一案由的违法情节、危害后果基本相同情况下，处罚决定应基本一致，避免“同案不同罚”；</w:t>
      </w:r>
      <w:r>
        <w:rPr>
          <w:rFonts w:hint="eastAsia" w:ascii="仿宋_GB2312" w:hAnsi="仿宋" w:eastAsia="仿宋_GB2312" w:cs="黑体"/>
          <w:sz w:val="32"/>
          <w:szCs w:val="32"/>
        </w:rPr>
        <w:t>要严格按照法律规定和违法事实实施罚款，不得随意给予顶格罚款或者高额罚款</w:t>
      </w:r>
      <w:r>
        <w:rPr>
          <w:rFonts w:hint="eastAsia" w:ascii="仿宋_GB2312" w:hAnsi="仿宋" w:eastAsia="仿宋_GB2312" w:cs="黑体"/>
          <w:sz w:val="32"/>
          <w:szCs w:val="32"/>
          <w:lang w:eastAsia="zh-CN"/>
        </w:rPr>
        <w:t>。</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楷体" w:hAnsi="楷体" w:eastAsia="楷体" w:cs="黑体"/>
          <w:sz w:val="32"/>
          <w:szCs w:val="32"/>
        </w:rPr>
        <w:t>（二</w:t>
      </w:r>
      <w:r>
        <w:rPr>
          <w:rFonts w:ascii="楷体" w:hAnsi="楷体" w:eastAsia="楷体" w:cs="黑体"/>
          <w:sz w:val="32"/>
          <w:szCs w:val="32"/>
        </w:rPr>
        <w:t>）</w:t>
      </w:r>
      <w:r>
        <w:rPr>
          <w:rFonts w:hint="eastAsia" w:ascii="楷体" w:hAnsi="楷体" w:eastAsia="楷体" w:cs="黑体"/>
          <w:sz w:val="32"/>
          <w:szCs w:val="32"/>
        </w:rPr>
        <w:t>裁量</w:t>
      </w:r>
      <w:r>
        <w:rPr>
          <w:rFonts w:ascii="楷体" w:hAnsi="楷体" w:eastAsia="楷体" w:cs="黑体"/>
          <w:sz w:val="32"/>
          <w:szCs w:val="32"/>
        </w:rPr>
        <w:t>基准。</w:t>
      </w:r>
      <w:r>
        <w:rPr>
          <w:rFonts w:hint="eastAsia" w:ascii="仿宋_GB2312" w:hAnsi="仿宋_GB2312" w:eastAsia="仿宋_GB2312" w:cs="仿宋_GB2312"/>
          <w:sz w:val="32"/>
          <w:szCs w:val="32"/>
          <w:lang w:val="en-US" w:eastAsia="zh-CN"/>
        </w:rPr>
        <w:t>调整后</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253项，</w:t>
      </w:r>
      <w:r>
        <w:rPr>
          <w:rFonts w:hint="eastAsia" w:ascii="仿宋_GB2312" w:hAnsi="仿宋_GB2312" w:eastAsia="仿宋_GB2312" w:cs="仿宋_GB2312"/>
          <w:sz w:val="32"/>
          <w:szCs w:val="32"/>
          <w:lang w:eastAsia="zh-CN"/>
        </w:rPr>
        <w:t>分为</w:t>
      </w:r>
      <w:r>
        <w:rPr>
          <w:rFonts w:hint="eastAsia" w:ascii="仿宋_GB2312" w:hAnsi="仿宋_GB2312" w:eastAsia="仿宋_GB2312" w:cs="仿宋_GB2312"/>
          <w:sz w:val="32"/>
          <w:szCs w:val="32"/>
          <w:lang w:val="en-US" w:eastAsia="zh-CN"/>
        </w:rPr>
        <w:t>12部分：</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1.</w:t>
      </w:r>
      <w:r>
        <w:rPr>
          <w:rFonts w:hint="eastAsia" w:ascii="仿宋_GB2312" w:hAnsi="仿宋" w:eastAsia="仿宋_GB2312" w:cs="黑体"/>
          <w:sz w:val="32"/>
          <w:szCs w:val="32"/>
        </w:rPr>
        <w:t>市政设施管理部分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1-39项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39项；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2.</w:t>
      </w:r>
      <w:r>
        <w:rPr>
          <w:rFonts w:hint="eastAsia" w:ascii="仿宋_GB2312" w:hAnsi="仿宋" w:eastAsia="仿宋_GB2312" w:cs="黑体"/>
          <w:sz w:val="32"/>
          <w:szCs w:val="32"/>
        </w:rPr>
        <w:t>城市市容环境卫生管理部分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40-78项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39项；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3.</w:t>
      </w:r>
      <w:r>
        <w:rPr>
          <w:rFonts w:hint="eastAsia" w:ascii="仿宋_GB2312" w:hAnsi="仿宋" w:eastAsia="仿宋_GB2312" w:cs="黑体"/>
          <w:sz w:val="32"/>
          <w:szCs w:val="32"/>
        </w:rPr>
        <w:t>城市建筑垃圾管理部分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79-92项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14项；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4.</w:t>
      </w:r>
      <w:r>
        <w:rPr>
          <w:rFonts w:hint="eastAsia" w:ascii="仿宋_GB2312" w:hAnsi="仿宋" w:eastAsia="仿宋_GB2312" w:cs="黑体"/>
          <w:sz w:val="32"/>
          <w:szCs w:val="32"/>
        </w:rPr>
        <w:t>城市生活垃圾管理部分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93-126项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34项；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5.</w:t>
      </w:r>
      <w:r>
        <w:rPr>
          <w:rFonts w:hint="eastAsia" w:ascii="仿宋_GB2312" w:hAnsi="仿宋" w:eastAsia="仿宋_GB2312" w:cs="黑体"/>
          <w:sz w:val="32"/>
          <w:szCs w:val="32"/>
        </w:rPr>
        <w:t>城市公厕管理部分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127-136项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10项；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6.</w:t>
      </w:r>
      <w:r>
        <w:rPr>
          <w:rFonts w:hint="eastAsia" w:ascii="仿宋_GB2312" w:hAnsi="仿宋" w:eastAsia="仿宋_GB2312" w:cs="黑体"/>
          <w:sz w:val="32"/>
          <w:szCs w:val="32"/>
        </w:rPr>
        <w:t>城市园林绿化管理部分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137-185项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49项；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7.</w:t>
      </w:r>
      <w:r>
        <w:rPr>
          <w:rFonts w:hint="eastAsia" w:ascii="仿宋_GB2312" w:hAnsi="仿宋" w:eastAsia="仿宋_GB2312" w:cs="黑体"/>
          <w:sz w:val="32"/>
          <w:szCs w:val="32"/>
        </w:rPr>
        <w:t>城市扬尘污染治理部分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186-196项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11项；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8.</w:t>
      </w:r>
      <w:r>
        <w:rPr>
          <w:rFonts w:hint="eastAsia" w:ascii="仿宋_GB2312" w:hAnsi="仿宋" w:eastAsia="仿宋_GB2312" w:cs="黑体"/>
          <w:sz w:val="32"/>
          <w:szCs w:val="32"/>
        </w:rPr>
        <w:t>城市噪声污染治理部分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197-208项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12项；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9.</w:t>
      </w:r>
      <w:r>
        <w:rPr>
          <w:rFonts w:hint="eastAsia" w:ascii="仿宋_GB2312" w:hAnsi="仿宋" w:eastAsia="仿宋_GB2312" w:cs="黑体"/>
          <w:sz w:val="32"/>
          <w:szCs w:val="32"/>
        </w:rPr>
        <w:t>物业管理部分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209-235项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27项；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10.</w:t>
      </w:r>
      <w:r>
        <w:rPr>
          <w:rFonts w:hint="eastAsia" w:ascii="仿宋_GB2312" w:hAnsi="仿宋" w:eastAsia="仿宋_GB2312" w:cs="黑体"/>
          <w:sz w:val="32"/>
          <w:szCs w:val="32"/>
        </w:rPr>
        <w:t>电动自行车管理部分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236-238项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3项；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11.</w:t>
      </w:r>
      <w:r>
        <w:rPr>
          <w:rFonts w:hint="eastAsia" w:ascii="仿宋_GB2312" w:hAnsi="仿宋" w:eastAsia="仿宋_GB2312" w:cs="黑体"/>
          <w:sz w:val="32"/>
          <w:szCs w:val="32"/>
        </w:rPr>
        <w:t>户外广告和招牌管理部分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239-249项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11项；</w:t>
      </w:r>
    </w:p>
    <w:p>
      <w:pPr>
        <w:spacing w:line="520" w:lineRule="exact"/>
        <w:ind w:firstLine="640" w:firstLineChars="200"/>
        <w:rPr>
          <w:rFonts w:hint="eastAsia" w:ascii="仿宋_GB2312" w:hAnsi="仿宋" w:eastAsia="仿宋_GB2312" w:cs="黑体"/>
          <w:sz w:val="32"/>
          <w:szCs w:val="32"/>
        </w:rPr>
      </w:pPr>
      <w:r>
        <w:rPr>
          <w:rFonts w:hint="eastAsia" w:ascii="仿宋_GB2312" w:hAnsi="仿宋" w:eastAsia="仿宋_GB2312" w:cs="黑体"/>
          <w:sz w:val="32"/>
          <w:szCs w:val="32"/>
          <w:lang w:val="en-US" w:eastAsia="zh-CN"/>
        </w:rPr>
        <w:t>12.</w:t>
      </w:r>
      <w:r>
        <w:rPr>
          <w:rFonts w:hint="eastAsia" w:ascii="仿宋_GB2312" w:hAnsi="仿宋" w:eastAsia="仿宋_GB2312" w:cs="黑体"/>
          <w:sz w:val="32"/>
          <w:szCs w:val="32"/>
        </w:rPr>
        <w:t>中心城区停车场管理部分</w:t>
      </w:r>
      <w:r>
        <w:rPr>
          <w:rFonts w:hint="eastAsia" w:ascii="仿宋_GB2312" w:hAnsi="仿宋" w:eastAsia="仿宋_GB2312" w:cs="黑体"/>
          <w:sz w:val="32"/>
          <w:szCs w:val="32"/>
          <w:lang w:eastAsia="zh-CN"/>
        </w:rPr>
        <w:t>（第</w:t>
      </w:r>
      <w:r>
        <w:rPr>
          <w:rFonts w:hint="eastAsia" w:ascii="仿宋_GB2312" w:hAnsi="仿宋" w:eastAsia="仿宋_GB2312" w:cs="黑体"/>
          <w:sz w:val="32"/>
          <w:szCs w:val="32"/>
          <w:lang w:val="en-US" w:eastAsia="zh-CN"/>
        </w:rPr>
        <w:t>250-253项</w:t>
      </w:r>
      <w:r>
        <w:rPr>
          <w:rFonts w:hint="eastAsia" w:ascii="仿宋_GB2312" w:hAnsi="仿宋" w:eastAsia="仿宋_GB2312" w:cs="黑体"/>
          <w:sz w:val="32"/>
          <w:szCs w:val="32"/>
          <w:lang w:eastAsia="zh-CN"/>
        </w:rPr>
        <w:t>）共</w:t>
      </w:r>
      <w:r>
        <w:rPr>
          <w:rFonts w:hint="eastAsia" w:ascii="仿宋_GB2312" w:hAnsi="仿宋" w:eastAsia="仿宋_GB2312" w:cs="黑体"/>
          <w:sz w:val="32"/>
          <w:szCs w:val="32"/>
          <w:lang w:val="en-US" w:eastAsia="zh-CN"/>
        </w:rPr>
        <w:t>4项。</w:t>
      </w:r>
    </w:p>
    <w:p>
      <w:pPr>
        <w:spacing w:line="520" w:lineRule="exact"/>
        <w:ind w:firstLine="640" w:firstLineChars="200"/>
        <w:rPr>
          <w:rFonts w:hint="eastAsia" w:ascii="仿宋_GB2312" w:hAnsi="仿宋" w:eastAsia="仿宋_GB2312" w:cs="黑体"/>
          <w:sz w:val="32"/>
          <w:szCs w:val="32"/>
        </w:rPr>
      </w:pPr>
    </w:p>
    <w:p>
      <w:pPr>
        <w:spacing w:line="52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龙岩市城市管理局</w:t>
      </w:r>
    </w:p>
    <w:p>
      <w:pPr>
        <w:spacing w:line="520" w:lineRule="exact"/>
        <w:ind w:firstLine="640" w:firstLineChars="200"/>
        <w:jc w:val="right"/>
        <w:rPr>
          <w:rFonts w:ascii="仿宋_GB2312"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366959"/>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C8"/>
    <w:rsid w:val="0001329B"/>
    <w:rsid w:val="00034499"/>
    <w:rsid w:val="00071228"/>
    <w:rsid w:val="000B76FF"/>
    <w:rsid w:val="000D57ED"/>
    <w:rsid w:val="0010347C"/>
    <w:rsid w:val="00162FFA"/>
    <w:rsid w:val="00174D35"/>
    <w:rsid w:val="00180CC7"/>
    <w:rsid w:val="0018689F"/>
    <w:rsid w:val="00190D00"/>
    <w:rsid w:val="001B2014"/>
    <w:rsid w:val="001B5D57"/>
    <w:rsid w:val="001E12C4"/>
    <w:rsid w:val="001E20E4"/>
    <w:rsid w:val="002528F8"/>
    <w:rsid w:val="00275F3B"/>
    <w:rsid w:val="002B68BB"/>
    <w:rsid w:val="002C2496"/>
    <w:rsid w:val="002E4FE2"/>
    <w:rsid w:val="003059C2"/>
    <w:rsid w:val="00343BDF"/>
    <w:rsid w:val="00365ED6"/>
    <w:rsid w:val="00377663"/>
    <w:rsid w:val="00384ECF"/>
    <w:rsid w:val="003A0CB5"/>
    <w:rsid w:val="003A2DB9"/>
    <w:rsid w:val="003F2071"/>
    <w:rsid w:val="00402B26"/>
    <w:rsid w:val="00407141"/>
    <w:rsid w:val="00422DDC"/>
    <w:rsid w:val="00426788"/>
    <w:rsid w:val="0044534D"/>
    <w:rsid w:val="00454B6B"/>
    <w:rsid w:val="00470F0B"/>
    <w:rsid w:val="0048472D"/>
    <w:rsid w:val="004A7A8B"/>
    <w:rsid w:val="004B1EBC"/>
    <w:rsid w:val="004E3BFA"/>
    <w:rsid w:val="004F4FCC"/>
    <w:rsid w:val="00517C67"/>
    <w:rsid w:val="005504B5"/>
    <w:rsid w:val="005576EC"/>
    <w:rsid w:val="005A2FBF"/>
    <w:rsid w:val="005C311F"/>
    <w:rsid w:val="00617080"/>
    <w:rsid w:val="00621F73"/>
    <w:rsid w:val="00632571"/>
    <w:rsid w:val="00653157"/>
    <w:rsid w:val="00693B5E"/>
    <w:rsid w:val="006A0DDD"/>
    <w:rsid w:val="006A407F"/>
    <w:rsid w:val="006A41A5"/>
    <w:rsid w:val="006A65AD"/>
    <w:rsid w:val="006E62A9"/>
    <w:rsid w:val="00710D28"/>
    <w:rsid w:val="00760339"/>
    <w:rsid w:val="00774618"/>
    <w:rsid w:val="00783B2A"/>
    <w:rsid w:val="007F1EBB"/>
    <w:rsid w:val="007F7E65"/>
    <w:rsid w:val="00811206"/>
    <w:rsid w:val="008210CF"/>
    <w:rsid w:val="00832656"/>
    <w:rsid w:val="00862638"/>
    <w:rsid w:val="00874089"/>
    <w:rsid w:val="0088045F"/>
    <w:rsid w:val="00886954"/>
    <w:rsid w:val="008B26BA"/>
    <w:rsid w:val="008C791E"/>
    <w:rsid w:val="008F008B"/>
    <w:rsid w:val="009406DB"/>
    <w:rsid w:val="009507C1"/>
    <w:rsid w:val="0095752E"/>
    <w:rsid w:val="00971945"/>
    <w:rsid w:val="00976071"/>
    <w:rsid w:val="009A347D"/>
    <w:rsid w:val="009B6395"/>
    <w:rsid w:val="009C45A0"/>
    <w:rsid w:val="009D0619"/>
    <w:rsid w:val="009F378D"/>
    <w:rsid w:val="009F59C8"/>
    <w:rsid w:val="00A543A4"/>
    <w:rsid w:val="00A57A05"/>
    <w:rsid w:val="00A84AF8"/>
    <w:rsid w:val="00AA7844"/>
    <w:rsid w:val="00AA7991"/>
    <w:rsid w:val="00AE7388"/>
    <w:rsid w:val="00AF6EB2"/>
    <w:rsid w:val="00B224C2"/>
    <w:rsid w:val="00B43A21"/>
    <w:rsid w:val="00B72DC3"/>
    <w:rsid w:val="00B923DE"/>
    <w:rsid w:val="00B97373"/>
    <w:rsid w:val="00BD0B9E"/>
    <w:rsid w:val="00C24138"/>
    <w:rsid w:val="00C24847"/>
    <w:rsid w:val="00CA1E3E"/>
    <w:rsid w:val="00CA5194"/>
    <w:rsid w:val="00CB4F73"/>
    <w:rsid w:val="00CC2DEB"/>
    <w:rsid w:val="00CF5179"/>
    <w:rsid w:val="00D25857"/>
    <w:rsid w:val="00D26F02"/>
    <w:rsid w:val="00D4153A"/>
    <w:rsid w:val="00D46595"/>
    <w:rsid w:val="00D465D2"/>
    <w:rsid w:val="00D5639A"/>
    <w:rsid w:val="00DE1E55"/>
    <w:rsid w:val="00DF33EE"/>
    <w:rsid w:val="00DF362A"/>
    <w:rsid w:val="00E37E8D"/>
    <w:rsid w:val="00E46B90"/>
    <w:rsid w:val="00EC5A60"/>
    <w:rsid w:val="00EC7460"/>
    <w:rsid w:val="00EE3781"/>
    <w:rsid w:val="00F17D69"/>
    <w:rsid w:val="00F2101E"/>
    <w:rsid w:val="00F27D1F"/>
    <w:rsid w:val="00F4052D"/>
    <w:rsid w:val="00F6016E"/>
    <w:rsid w:val="00F6143D"/>
    <w:rsid w:val="00F7175B"/>
    <w:rsid w:val="00F93E48"/>
    <w:rsid w:val="00FA2881"/>
    <w:rsid w:val="00FB4040"/>
    <w:rsid w:val="00FB44E6"/>
    <w:rsid w:val="00FC43DB"/>
    <w:rsid w:val="00FE3F7A"/>
    <w:rsid w:val="00FF631B"/>
    <w:rsid w:val="2EFFB21E"/>
    <w:rsid w:val="3BFA3DD8"/>
    <w:rsid w:val="3F7FD0F8"/>
    <w:rsid w:val="3FBD500D"/>
    <w:rsid w:val="66F7B6A4"/>
    <w:rsid w:val="67BFDE0A"/>
    <w:rsid w:val="6DF71AC9"/>
    <w:rsid w:val="77C749D5"/>
    <w:rsid w:val="7971817B"/>
    <w:rsid w:val="7E9ADEDD"/>
    <w:rsid w:val="7F727E88"/>
    <w:rsid w:val="7FFAD65A"/>
    <w:rsid w:val="9FD602F7"/>
    <w:rsid w:val="BA9A0C0E"/>
    <w:rsid w:val="CCBECFC2"/>
    <w:rsid w:val="DBBF596B"/>
    <w:rsid w:val="DFF7E773"/>
    <w:rsid w:val="ECBA44E5"/>
    <w:rsid w:val="EFFF2147"/>
    <w:rsid w:val="F7BEED95"/>
    <w:rsid w:val="F7E18E18"/>
    <w:rsid w:val="FFBE618B"/>
    <w:rsid w:val="FFFF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rFonts w:ascii="Times New Roman" w:hAnsi="Times New Roman" w:cs="Times New Roman"/>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238</Words>
  <Characters>1362</Characters>
  <Lines>11</Lines>
  <Paragraphs>3</Paragraphs>
  <TotalTime>6</TotalTime>
  <ScaleCrop>false</ScaleCrop>
  <LinksUpToDate>false</LinksUpToDate>
  <CharactersWithSpaces>1597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2021-10-31T23:30:00Z</dcterms:created>
  <dc:creator>罗芬</dc:creator>
  <cp:lastModifiedBy>lyadmin</cp:lastModifiedBy>
  <cp:lastPrinted>2026-08-05T02:06:00Z</cp:lastPrinted>
  <dcterms:modified xsi:type="dcterms:W3CDTF">2026-08-04T10:55:53Z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