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生活垃圾处理设施第三方安全监管</w:t>
      </w:r>
      <w:r>
        <w:rPr>
          <w:rFonts w:hint="eastAsia" w:ascii="方正小标宋简体" w:hAnsi="方正小标宋简体" w:eastAsia="方正小标宋简体" w:cs="方正小标宋简体"/>
          <w:sz w:val="44"/>
          <w:szCs w:val="44"/>
          <w:lang w:eastAsia="zh-CN"/>
        </w:rPr>
        <w:t>服务</w:t>
      </w:r>
      <w:r>
        <w:rPr>
          <w:rFonts w:hint="eastAsia" w:ascii="方正小标宋简体" w:hAnsi="方正小标宋简体" w:eastAsia="方正小标宋简体" w:cs="方正小标宋简体"/>
          <w:color w:val="auto"/>
          <w:sz w:val="44"/>
          <w:szCs w:val="44"/>
          <w:lang w:val="en-US" w:eastAsia="zh-CN"/>
        </w:rPr>
        <w:t>（2026-2027年）</w:t>
      </w:r>
      <w:r>
        <w:rPr>
          <w:rFonts w:hint="eastAsia" w:ascii="方正小标宋简体" w:hAnsi="方正小标宋简体" w:eastAsia="方正小标宋简体" w:cs="方正小标宋简体"/>
          <w:sz w:val="44"/>
          <w:szCs w:val="44"/>
          <w:lang w:eastAsia="zh-CN"/>
        </w:rPr>
        <w:t>采购方案</w:t>
      </w:r>
    </w:p>
    <w:p>
      <w:pPr>
        <w:pStyle w:val="2"/>
      </w:pPr>
    </w:p>
    <w:p>
      <w:pPr>
        <w:keepNext w:val="0"/>
        <w:keepLines w:val="0"/>
        <w:pageBreakBefore w:val="0"/>
        <w:widowControl/>
        <w:kinsoku/>
        <w:wordWrap/>
        <w:topLinePunct w:val="0"/>
        <w:bidi w:val="0"/>
        <w:spacing w:line="520" w:lineRule="atLeast"/>
        <w:ind w:firstLine="640" w:firstLineChars="200"/>
        <w:jc w:val="left"/>
        <w:rPr>
          <w:rFonts w:ascii="宋体" w:hAnsi="宋体" w:cs="宋体"/>
          <w:b/>
          <w:bCs/>
          <w:sz w:val="32"/>
          <w:szCs w:val="32"/>
        </w:rPr>
      </w:pPr>
      <w:r>
        <w:rPr>
          <w:rFonts w:hint="eastAsia" w:ascii="黑体" w:hAnsi="黑体" w:eastAsia="黑体"/>
          <w:sz w:val="32"/>
          <w:szCs w:val="32"/>
        </w:rPr>
        <w:t>一、项目概况</w:t>
      </w:r>
    </w:p>
    <w:p>
      <w:pPr>
        <w:keepNext w:val="0"/>
        <w:keepLines w:val="0"/>
        <w:pageBreakBefore w:val="0"/>
        <w:kinsoku/>
        <w:wordWrap/>
        <w:topLinePunct w:val="0"/>
        <w:bidi w:val="0"/>
        <w:spacing w:line="5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根据福建省住房和城乡建设厅《关于建立健全生活垃圾处理设施安全运行管理机制的通知》（闽建办管〔2022〕2号）和《关于进一步抓好生活垃圾处理设施安全隐患排查整治的通知》（闽建管函〔2022〕33号）等文件要求，我</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拟</w:t>
      </w:r>
      <w:r>
        <w:rPr>
          <w:rFonts w:hint="eastAsia" w:ascii="仿宋_GB2312" w:hAnsi="仿宋_GB2312" w:eastAsia="仿宋_GB2312" w:cs="仿宋_GB2312"/>
          <w:sz w:val="32"/>
          <w:szCs w:val="32"/>
        </w:rPr>
        <w:t>委托第三方监管单位对中心城区生活垃圾处理设施进行常态化监管。</w:t>
      </w:r>
    </w:p>
    <w:p>
      <w:pPr>
        <w:keepNext w:val="0"/>
        <w:keepLines w:val="0"/>
        <w:pageBreakBefore w:val="0"/>
        <w:widowControl/>
        <w:kinsoku/>
        <w:wordWrap/>
        <w:overflowPunct/>
        <w:topLinePunct w:val="0"/>
        <w:autoSpaceDE/>
        <w:autoSpaceDN/>
        <w:bidi w:val="0"/>
        <w:spacing w:line="520" w:lineRule="atLeast"/>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二、监管依据和标准</w:t>
      </w:r>
    </w:p>
    <w:p>
      <w:pPr>
        <w:keepNext w:val="0"/>
        <w:keepLines w:val="0"/>
        <w:pageBreakBefore w:val="0"/>
        <w:kinsoku/>
        <w:wordWrap/>
        <w:overflowPunct/>
        <w:topLinePunct w:val="0"/>
        <w:autoSpaceDE/>
        <w:autoSpaceDN/>
        <w:bidi w:val="0"/>
        <w:spacing w:line="52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《中华人民共和国安全生产法》</w:t>
      </w:r>
    </w:p>
    <w:p>
      <w:pPr>
        <w:keepNext w:val="0"/>
        <w:keepLines w:val="0"/>
        <w:pageBreakBefore w:val="0"/>
        <w:kinsoku/>
        <w:wordWrap/>
        <w:overflowPunct/>
        <w:topLinePunct w:val="0"/>
        <w:autoSpaceDE/>
        <w:autoSpaceDN/>
        <w:bidi w:val="0"/>
        <w:spacing w:line="52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《中华人民共和国固体废物污染环境防治法》</w:t>
      </w:r>
    </w:p>
    <w:p>
      <w:pPr>
        <w:keepNext w:val="0"/>
        <w:keepLines w:val="0"/>
        <w:pageBreakBefore w:val="0"/>
        <w:kinsoku/>
        <w:wordWrap/>
        <w:overflowPunct/>
        <w:topLinePunct w:val="0"/>
        <w:autoSpaceDE/>
        <w:autoSpaceDN/>
        <w:bidi w:val="0"/>
        <w:spacing w:line="52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《生活垃圾焚烧厂评价标准》CJJ/T137-2019</w:t>
      </w:r>
    </w:p>
    <w:p>
      <w:pPr>
        <w:keepNext w:val="0"/>
        <w:keepLines w:val="0"/>
        <w:pageBreakBefore w:val="0"/>
        <w:kinsoku/>
        <w:wordWrap/>
        <w:overflowPunct/>
        <w:topLinePunct w:val="0"/>
        <w:autoSpaceDE/>
        <w:autoSpaceDN/>
        <w:bidi w:val="0"/>
        <w:spacing w:line="52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《生活垃圾焚烧厂运行监管标准》CJJ/T212-2019</w:t>
      </w:r>
    </w:p>
    <w:p>
      <w:pPr>
        <w:keepNext w:val="0"/>
        <w:keepLines w:val="0"/>
        <w:pageBreakBefore w:val="0"/>
        <w:kinsoku/>
        <w:wordWrap/>
        <w:overflowPunct/>
        <w:topLinePunct w:val="0"/>
        <w:autoSpaceDE/>
        <w:autoSpaceDN/>
        <w:bidi w:val="0"/>
        <w:spacing w:line="52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《生活垃圾焚烧污染控制标准》GB18485-2014</w:t>
      </w:r>
    </w:p>
    <w:p>
      <w:pPr>
        <w:keepNext w:val="0"/>
        <w:keepLines w:val="0"/>
        <w:pageBreakBefore w:val="0"/>
        <w:kinsoku/>
        <w:wordWrap/>
        <w:overflowPunct/>
        <w:topLinePunct w:val="0"/>
        <w:autoSpaceDE/>
        <w:autoSpaceDN/>
        <w:bidi w:val="0"/>
        <w:spacing w:line="52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《生活垃圾焚烧发电厂现场监督检查技术指南》HJ1307-2023</w:t>
      </w:r>
    </w:p>
    <w:p>
      <w:pPr>
        <w:keepNext w:val="0"/>
        <w:keepLines w:val="0"/>
        <w:pageBreakBefore w:val="0"/>
        <w:kinsoku/>
        <w:wordWrap/>
        <w:overflowPunct/>
        <w:topLinePunct w:val="0"/>
        <w:autoSpaceDE/>
        <w:autoSpaceDN/>
        <w:bidi w:val="0"/>
        <w:spacing w:line="52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《生活垃圾卫生填埋场运行监管标准》CJJ/T213-2016</w:t>
      </w:r>
    </w:p>
    <w:p>
      <w:pPr>
        <w:keepNext w:val="0"/>
        <w:keepLines w:val="0"/>
        <w:pageBreakBefore w:val="0"/>
        <w:kinsoku/>
        <w:wordWrap/>
        <w:overflowPunct/>
        <w:topLinePunct w:val="0"/>
        <w:autoSpaceDE/>
        <w:autoSpaceDN/>
        <w:bidi w:val="0"/>
        <w:spacing w:line="52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《生活垃圾填埋场污染控制标准》GB16889-2024</w:t>
      </w:r>
    </w:p>
    <w:p>
      <w:pPr>
        <w:keepNext w:val="0"/>
        <w:keepLines w:val="0"/>
        <w:pageBreakBefore w:val="0"/>
        <w:kinsoku/>
        <w:wordWrap/>
        <w:overflowPunct/>
        <w:topLinePunct w:val="0"/>
        <w:autoSpaceDE/>
        <w:autoSpaceDN/>
        <w:bidi w:val="0"/>
        <w:spacing w:line="520" w:lineRule="atLeast"/>
        <w:ind w:firstLine="640" w:firstLineChars="200"/>
      </w:pPr>
      <w:r>
        <w:rPr>
          <w:rFonts w:hint="eastAsia" w:ascii="仿宋_GB2312" w:hAnsi="仿宋_GB2312" w:eastAsia="仿宋_GB2312" w:cs="仿宋_GB2312"/>
          <w:sz w:val="32"/>
          <w:szCs w:val="32"/>
          <w:lang w:val="en-US" w:eastAsia="zh-CN"/>
        </w:rPr>
        <w:t>《福建省厨余垃圾处理设施运行监管和考核评价标准》DBJ/T 13-432-2023</w:t>
      </w:r>
    </w:p>
    <w:p>
      <w:pPr>
        <w:keepNext w:val="0"/>
        <w:keepLines w:val="0"/>
        <w:pageBreakBefore w:val="0"/>
        <w:widowControl/>
        <w:kinsoku/>
        <w:wordWrap/>
        <w:topLinePunct w:val="0"/>
        <w:bidi w:val="0"/>
        <w:spacing w:line="520" w:lineRule="atLeast"/>
        <w:ind w:firstLine="640" w:firstLineChars="200"/>
        <w:jc w:val="left"/>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、监管对象</w:t>
      </w:r>
    </w:p>
    <w:p>
      <w:pPr>
        <w:keepNext w:val="0"/>
        <w:keepLines w:val="0"/>
        <w:pageBreakBefore w:val="0"/>
        <w:kinsoku/>
        <w:wordWrap/>
        <w:topLinePunct w:val="0"/>
        <w:bidi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1.龙岩市生活垃圾焚烧发电厂；</w:t>
      </w:r>
    </w:p>
    <w:p>
      <w:pPr>
        <w:keepNext w:val="0"/>
        <w:keepLines w:val="0"/>
        <w:pageBreakBefore w:val="0"/>
        <w:kinsoku/>
        <w:wordWrap/>
        <w:topLinePunct w:val="0"/>
        <w:bidi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2.龙岩市第二生活垃圾焚烧发电厂；</w:t>
      </w:r>
    </w:p>
    <w:p>
      <w:pPr>
        <w:keepNext w:val="0"/>
        <w:keepLines w:val="0"/>
        <w:pageBreakBefore w:val="0"/>
        <w:kinsoku/>
        <w:wordWrap/>
        <w:topLinePunct w:val="0"/>
        <w:bidi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3.龙岩市餐厨垃圾处理厂；</w:t>
      </w:r>
    </w:p>
    <w:p>
      <w:pPr>
        <w:keepNext w:val="0"/>
        <w:keepLines w:val="0"/>
        <w:pageBreakBefore w:val="0"/>
        <w:kinsoku/>
        <w:wordWrap/>
        <w:topLinePunct w:val="0"/>
        <w:bidi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4.龙岩市厨余垃圾处理厂；</w:t>
      </w:r>
    </w:p>
    <w:p>
      <w:pPr>
        <w:keepNext w:val="0"/>
        <w:keepLines w:val="0"/>
        <w:pageBreakBefore w:val="0"/>
        <w:kinsoku/>
        <w:wordWrap/>
        <w:topLinePunct w:val="0"/>
        <w:bidi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5.固废中心污水处理厂；</w:t>
      </w:r>
    </w:p>
    <w:p>
      <w:pPr>
        <w:keepNext w:val="0"/>
        <w:keepLines w:val="0"/>
        <w:pageBreakBefore w:val="0"/>
        <w:kinsoku/>
        <w:wordWrap/>
        <w:topLinePunct w:val="0"/>
        <w:bidi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6.黄竹坑生活垃圾填埋场；</w:t>
      </w:r>
    </w:p>
    <w:p>
      <w:pPr>
        <w:keepNext w:val="0"/>
        <w:keepLines w:val="0"/>
        <w:pageBreakBefore w:val="0"/>
        <w:kinsoku/>
        <w:wordWrap/>
        <w:topLinePunct w:val="0"/>
        <w:bidi w:val="0"/>
        <w:spacing w:line="520" w:lineRule="atLeas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7.龙岩市大件垃圾破拆处理厂</w:t>
      </w:r>
      <w:r>
        <w:rPr>
          <w:rFonts w:hint="eastAsia" w:ascii="仿宋_GB2312" w:hAnsi="仿宋_GB2312" w:eastAsia="仿宋_GB2312" w:cs="仿宋_GB2312"/>
          <w:color w:val="000000"/>
          <w:kern w:val="0"/>
          <w:sz w:val="32"/>
          <w:szCs w:val="32"/>
          <w:lang w:eastAsia="zh-CN"/>
        </w:rPr>
        <w:t>；</w:t>
      </w:r>
    </w:p>
    <w:p>
      <w:pPr>
        <w:pStyle w:val="2"/>
        <w:rPr>
          <w:rFonts w:hint="eastAsia" w:eastAsia="仿宋_GB2312"/>
          <w:lang w:val="en-US" w:eastAsia="zh-CN"/>
        </w:rPr>
      </w:pPr>
      <w:r>
        <w:rPr>
          <w:rFonts w:hint="eastAsia" w:ascii="仿宋_GB2312" w:hAnsi="仿宋_GB2312" w:eastAsia="仿宋_GB2312" w:cs="仿宋_GB2312"/>
          <w:color w:val="000000"/>
          <w:kern w:val="0"/>
          <w:sz w:val="32"/>
          <w:szCs w:val="32"/>
          <w:lang w:val="en-US" w:eastAsia="zh-CN"/>
        </w:rPr>
        <w:t xml:space="preserve">    8.</w:t>
      </w:r>
      <w:r>
        <w:rPr>
          <w:rFonts w:hint="eastAsia" w:ascii="仿宋_GB2312" w:hAnsi="仿宋_GB2312" w:eastAsia="仿宋_GB2312" w:cs="仿宋_GB2312"/>
          <w:color w:val="000000"/>
          <w:kern w:val="0"/>
          <w:sz w:val="32"/>
          <w:szCs w:val="32"/>
        </w:rPr>
        <w:t>县（市、区）</w:t>
      </w:r>
      <w:r>
        <w:rPr>
          <w:rFonts w:hint="eastAsia" w:ascii="仿宋_GB2312" w:hAnsi="仿宋_GB2312" w:eastAsia="仿宋_GB2312" w:cs="仿宋_GB2312"/>
          <w:color w:val="000000"/>
          <w:kern w:val="0"/>
          <w:sz w:val="32"/>
          <w:szCs w:val="32"/>
          <w:lang w:eastAsia="zh-CN"/>
        </w:rPr>
        <w:t>生活垃圾处理设施。</w:t>
      </w:r>
    </w:p>
    <w:p>
      <w:pPr>
        <w:keepNext w:val="0"/>
        <w:keepLines w:val="0"/>
        <w:pageBreakBefore w:val="0"/>
        <w:widowControl/>
        <w:kinsoku/>
        <w:wordWrap/>
        <w:topLinePunct w:val="0"/>
        <w:bidi w:val="0"/>
        <w:spacing w:line="520" w:lineRule="atLeast"/>
        <w:ind w:firstLine="640" w:firstLineChars="200"/>
        <w:jc w:val="left"/>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、监管服务内容</w:t>
      </w:r>
    </w:p>
    <w:p>
      <w:pPr>
        <w:keepNext w:val="0"/>
        <w:keepLines w:val="0"/>
        <w:pageBreakBefore w:val="0"/>
        <w:kinsoku/>
        <w:wordWrap/>
        <w:topLinePunct w:val="0"/>
        <w:bidi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根据《福建省住房和城乡建设厅关于建立健全生活垃圾处理设施安全运行管理机制的通知》（闽建办管〔2022〕2号）要求，对各运营单位落实安全主体责任、安全风险管控、隐患排查治理、监测预警、安全培训教育、应急救援演练和内控约束等七项机制落实情况进行检查。</w:t>
      </w:r>
    </w:p>
    <w:p>
      <w:pPr>
        <w:keepNext w:val="0"/>
        <w:keepLines w:val="0"/>
        <w:pageBreakBefore w:val="0"/>
        <w:kinsoku/>
        <w:wordWrap/>
        <w:topLinePunct w:val="0"/>
        <w:bidi w:val="0"/>
        <w:adjustRightInd w:val="0"/>
        <w:snapToGrid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2.生活垃圾焚烧发电厂计量系统、焚烧系统、烟气处理系统、汽轮发电系统、污水处理系统、环保监测、维修管理、台账管理、安全生产等；</w:t>
      </w:r>
    </w:p>
    <w:p>
      <w:pPr>
        <w:keepNext w:val="0"/>
        <w:keepLines w:val="0"/>
        <w:pageBreakBefore w:val="0"/>
        <w:kinsoku/>
        <w:wordWrap/>
        <w:topLinePunct w:val="0"/>
        <w:bidi w:val="0"/>
        <w:adjustRightInd w:val="0"/>
        <w:snapToGrid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3.餐厨和厨余垃圾处理厂车辆配置、物料转运、计量、卸料、设施性能、环保监测、维修管理、台账管理、安全生产等；</w:t>
      </w:r>
    </w:p>
    <w:p>
      <w:pPr>
        <w:keepNext w:val="0"/>
        <w:keepLines w:val="0"/>
        <w:pageBreakBefore w:val="0"/>
        <w:kinsoku/>
        <w:wordWrap/>
        <w:topLinePunct w:val="0"/>
        <w:bidi w:val="0"/>
        <w:adjustRightInd w:val="0"/>
        <w:snapToGrid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4.生活垃圾填埋场填埋库区堆体沉降、气体导排、截洪沟、渗滤液处理、台账管理、安全生产等；</w:t>
      </w:r>
    </w:p>
    <w:p>
      <w:pPr>
        <w:keepNext w:val="0"/>
        <w:keepLines w:val="0"/>
        <w:pageBreakBefore w:val="0"/>
        <w:kinsoku/>
        <w:wordWrap/>
        <w:topLinePunct w:val="0"/>
        <w:bidi w:val="0"/>
        <w:adjustRightInd w:val="0"/>
        <w:snapToGrid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5.污水处理厂进出水水质、水量、设施性能、环保监测、维修管理、台账管理、安全生产等；</w:t>
      </w:r>
    </w:p>
    <w:p>
      <w:pPr>
        <w:keepNext w:val="0"/>
        <w:keepLines w:val="0"/>
        <w:pageBreakBefore w:val="0"/>
        <w:kinsoku/>
        <w:wordWrap/>
        <w:topLinePunct w:val="0"/>
        <w:bidi w:val="0"/>
        <w:adjustRightInd w:val="0"/>
        <w:snapToGrid w:val="0"/>
        <w:spacing w:line="52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6.大件垃圾破拆厂员工操作规范、设施维护保养、安全培训、台账管理、安全生产等；</w:t>
      </w:r>
    </w:p>
    <w:p>
      <w:pPr>
        <w:keepNext w:val="0"/>
        <w:keepLines w:val="0"/>
        <w:pageBreakBefore w:val="0"/>
        <w:kinsoku/>
        <w:wordWrap/>
        <w:topLinePunct w:val="0"/>
        <w:bidi w:val="0"/>
        <w:adjustRightInd w:val="0"/>
        <w:snapToGrid w:val="0"/>
        <w:spacing w:line="52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每季度</w:t>
      </w:r>
      <w:r>
        <w:rPr>
          <w:rFonts w:hint="eastAsia" w:ascii="仿宋_GB2312" w:hAnsi="仿宋_GB2312" w:eastAsia="仿宋_GB2312" w:cs="仿宋_GB2312"/>
          <w:color w:val="000000"/>
          <w:kern w:val="0"/>
          <w:sz w:val="32"/>
          <w:szCs w:val="32"/>
        </w:rPr>
        <w:t>对中心城区生活垃圾处理设施</w:t>
      </w:r>
      <w:r>
        <w:rPr>
          <w:rFonts w:hint="eastAsia" w:ascii="仿宋_GB2312" w:hAnsi="仿宋_GB2312" w:eastAsia="仿宋_GB2312" w:cs="仿宋_GB2312"/>
          <w:color w:val="000000"/>
          <w:kern w:val="0"/>
          <w:sz w:val="32"/>
          <w:szCs w:val="32"/>
          <w:lang w:eastAsia="zh-CN"/>
        </w:rPr>
        <w:t>进行</w:t>
      </w:r>
      <w:r>
        <w:rPr>
          <w:rFonts w:hint="eastAsia" w:ascii="仿宋_GB2312" w:hAnsi="仿宋_GB2312" w:eastAsia="仿宋_GB2312" w:cs="仿宋_GB2312"/>
          <w:color w:val="000000"/>
          <w:kern w:val="0"/>
          <w:sz w:val="32"/>
          <w:szCs w:val="32"/>
        </w:rPr>
        <w:t>检查评估，并出具检查评估报告。</w:t>
      </w:r>
    </w:p>
    <w:p>
      <w:pPr>
        <w:keepNext w:val="0"/>
        <w:keepLines w:val="0"/>
        <w:pageBreakBefore w:val="0"/>
        <w:kinsoku/>
        <w:wordWrap/>
        <w:topLinePunct w:val="0"/>
        <w:bidi w:val="0"/>
        <w:adjustRightInd w:val="0"/>
        <w:snapToGrid w:val="0"/>
        <w:spacing w:line="52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每半年配合采购人</w:t>
      </w:r>
      <w:r>
        <w:rPr>
          <w:rFonts w:hint="eastAsia" w:ascii="仿宋_GB2312" w:hAnsi="仿宋_GB2312" w:eastAsia="仿宋_GB2312" w:cs="仿宋_GB2312"/>
          <w:color w:val="000000"/>
          <w:kern w:val="0"/>
          <w:sz w:val="32"/>
          <w:szCs w:val="32"/>
        </w:rPr>
        <w:t>对各县（市、区）环卫主管部门垃圾处理设施监管责任落实情况</w:t>
      </w:r>
      <w:r>
        <w:rPr>
          <w:rFonts w:hint="eastAsia" w:ascii="仿宋_GB2312" w:hAnsi="仿宋_GB2312" w:eastAsia="仿宋_GB2312" w:cs="仿宋_GB2312"/>
          <w:color w:val="000000"/>
          <w:kern w:val="0"/>
          <w:sz w:val="32"/>
          <w:szCs w:val="32"/>
          <w:lang w:eastAsia="zh-CN"/>
        </w:rPr>
        <w:t>进行检查</w:t>
      </w:r>
      <w:bookmarkStart w:id="0" w:name="_GoBack"/>
      <w:bookmarkEnd w:id="0"/>
      <w:r>
        <w:rPr>
          <w:rFonts w:hint="eastAsia" w:ascii="仿宋_GB2312" w:hAnsi="仿宋_GB2312" w:eastAsia="仿宋_GB2312" w:cs="仿宋_GB2312"/>
          <w:color w:val="000000"/>
          <w:kern w:val="0"/>
          <w:sz w:val="32"/>
          <w:szCs w:val="32"/>
        </w:rPr>
        <w:t>，主要检查内容为是否落实每</w:t>
      </w:r>
      <w:r>
        <w:rPr>
          <w:rFonts w:hint="eastAsia" w:ascii="仿宋_GB2312" w:hAnsi="仿宋_GB2312" w:eastAsia="仿宋_GB2312" w:cs="仿宋_GB2312"/>
          <w:color w:val="000000"/>
          <w:kern w:val="0"/>
          <w:sz w:val="32"/>
          <w:szCs w:val="32"/>
          <w:lang w:eastAsia="zh-CN"/>
        </w:rPr>
        <w:t>季度</w:t>
      </w:r>
      <w:r>
        <w:rPr>
          <w:rFonts w:hint="eastAsia" w:ascii="仿宋_GB2312" w:hAnsi="仿宋_GB2312" w:eastAsia="仿宋_GB2312" w:cs="仿宋_GB2312"/>
          <w:color w:val="000000"/>
          <w:kern w:val="0"/>
          <w:sz w:val="32"/>
          <w:szCs w:val="32"/>
        </w:rPr>
        <w:t>对辖区内运营单位进行全覆盖检查一次，是否落实督促整改机制，是否完善经费挂钩制度。检查各县（市、区）生活垃圾处理设施运营单位安全主体责任落实情况，及对生活垃圾处理设施进行现场安全检查。</w:t>
      </w:r>
    </w:p>
    <w:p>
      <w:pPr>
        <w:pStyle w:val="2"/>
        <w:ind w:firstLine="640" w:firstLineChars="200"/>
        <w:rPr>
          <w:rFonts w:hint="default" w:eastAsia="仿宋_GB2312"/>
          <w:lang w:val="en-US" w:eastAsia="zh-CN"/>
        </w:rPr>
      </w:pPr>
      <w:r>
        <w:rPr>
          <w:rFonts w:hint="eastAsia" w:ascii="仿宋_GB2312" w:hAnsi="仿宋_GB2312" w:eastAsia="仿宋_GB2312" w:cs="仿宋_GB2312"/>
          <w:color w:val="000000"/>
          <w:kern w:val="0"/>
          <w:sz w:val="32"/>
          <w:szCs w:val="32"/>
          <w:lang w:val="en-US" w:eastAsia="zh-CN"/>
        </w:rPr>
        <w:t>9.每半年召开一次安全生产总结及安全形势分析会。</w:t>
      </w:r>
    </w:p>
    <w:p>
      <w:pPr>
        <w:pStyle w:val="2"/>
        <w:keepNext w:val="0"/>
        <w:keepLines w:val="0"/>
        <w:pageBreakBefore w:val="0"/>
        <w:kinsoku/>
        <w:wordWrap/>
        <w:topLinePunct w:val="0"/>
        <w:bidi w:val="0"/>
        <w:spacing w:line="520" w:lineRule="atLeas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kern w:val="2"/>
          <w:sz w:val="32"/>
          <w:szCs w:val="32"/>
          <w:lang w:eastAsia="zh-CN"/>
        </w:rPr>
        <w:t>五、监管服务单位资质</w:t>
      </w:r>
    </w:p>
    <w:p>
      <w:pPr>
        <w:pStyle w:val="2"/>
        <w:keepNext w:val="0"/>
        <w:keepLines w:val="0"/>
        <w:pageBreakBefore w:val="0"/>
        <w:kinsoku/>
        <w:wordWrap/>
        <w:topLinePunct w:val="0"/>
        <w:bidi w:val="0"/>
        <w:spacing w:line="520" w:lineRule="atLeas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1.经营服务范围应包含：环保咨询或环保技术类相关服务。</w:t>
      </w:r>
    </w:p>
    <w:p>
      <w:pPr>
        <w:pStyle w:val="2"/>
        <w:keepNext w:val="0"/>
        <w:keepLines w:val="0"/>
        <w:pageBreakBefore w:val="0"/>
        <w:kinsoku/>
        <w:wordWrap/>
        <w:topLinePunct w:val="0"/>
        <w:bidi w:val="0"/>
        <w:spacing w:line="520" w:lineRule="atLeas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2.2021年6月1日以来，至少有1个生活垃圾处理设施监管类似业绩，每个业绩须提供与政府部门签订的监管服务合同。</w:t>
      </w:r>
    </w:p>
    <w:p>
      <w:pPr>
        <w:pStyle w:val="2"/>
        <w:keepNext w:val="0"/>
        <w:keepLines w:val="0"/>
        <w:pageBreakBefore w:val="0"/>
        <w:kinsoku/>
        <w:wordWrap/>
        <w:topLinePunct w:val="0"/>
        <w:bidi w:val="0"/>
        <w:spacing w:line="520" w:lineRule="atLeas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中标人每期需安排四名专业人员到场检查，其中</w:t>
      </w:r>
      <w:r>
        <w:rPr>
          <w:rFonts w:hint="eastAsia" w:ascii="仿宋_GB2312" w:hAnsi="仿宋_GB2312" w:eastAsia="仿宋_GB2312" w:cs="仿宋_GB2312"/>
          <w:color w:val="000000"/>
          <w:kern w:val="0"/>
          <w:sz w:val="32"/>
          <w:szCs w:val="32"/>
        </w:rPr>
        <w:t>项目负责人</w:t>
      </w:r>
      <w:r>
        <w:rPr>
          <w:rFonts w:hint="eastAsia" w:ascii="仿宋_GB2312" w:hAnsi="仿宋_GB2312" w:eastAsia="仿宋_GB2312" w:cs="仿宋_GB2312"/>
          <w:color w:val="000000"/>
          <w:kern w:val="0"/>
          <w:sz w:val="32"/>
          <w:szCs w:val="32"/>
          <w:lang w:eastAsia="zh-CN"/>
        </w:rPr>
        <w:t>一名，需</w:t>
      </w:r>
      <w:r>
        <w:rPr>
          <w:rFonts w:hint="eastAsia" w:ascii="仿宋_GB2312" w:hAnsi="仿宋_GB2312" w:eastAsia="仿宋_GB2312" w:cs="仿宋_GB2312"/>
          <w:color w:val="000000"/>
          <w:kern w:val="0"/>
          <w:sz w:val="32"/>
          <w:szCs w:val="32"/>
        </w:rPr>
        <w:t>具有环境工程</w:t>
      </w:r>
      <w:r>
        <w:rPr>
          <w:rFonts w:hint="eastAsia" w:ascii="仿宋_GB2312" w:hAnsi="仿宋_GB2312" w:eastAsia="仿宋_GB2312" w:cs="仿宋_GB2312"/>
          <w:color w:val="000000"/>
          <w:kern w:val="0"/>
          <w:sz w:val="32"/>
          <w:szCs w:val="32"/>
          <w:lang w:eastAsia="zh-CN"/>
        </w:rPr>
        <w:t>或热能动力</w:t>
      </w:r>
      <w:r>
        <w:rPr>
          <w:rFonts w:hint="eastAsia" w:ascii="仿宋_GB2312" w:hAnsi="仿宋_GB2312" w:eastAsia="仿宋_GB2312" w:cs="仿宋_GB2312"/>
          <w:color w:val="000000"/>
          <w:kern w:val="0"/>
          <w:sz w:val="32"/>
          <w:szCs w:val="32"/>
        </w:rPr>
        <w:t>专业高级工程师证书</w:t>
      </w:r>
      <w:r>
        <w:rPr>
          <w:rFonts w:hint="eastAsia" w:ascii="仿宋_GB2312" w:hAnsi="仿宋_GB2312" w:eastAsia="仿宋_GB2312" w:cs="仿宋_GB2312"/>
          <w:color w:val="000000"/>
          <w:kern w:val="0"/>
          <w:sz w:val="32"/>
          <w:szCs w:val="32"/>
          <w:lang w:eastAsia="zh-CN"/>
        </w:rPr>
        <w:t>；专家三名，具有给排水专业、环境工程专业、电气专业或热能动力</w:t>
      </w:r>
      <w:r>
        <w:rPr>
          <w:rFonts w:hint="eastAsia" w:ascii="仿宋_GB2312" w:hAnsi="仿宋_GB2312" w:eastAsia="仿宋_GB2312" w:cs="仿宋_GB2312"/>
          <w:color w:val="000000"/>
          <w:kern w:val="0"/>
          <w:sz w:val="32"/>
          <w:szCs w:val="32"/>
        </w:rPr>
        <w:t>专业</w:t>
      </w:r>
      <w:r>
        <w:rPr>
          <w:rFonts w:hint="eastAsia" w:ascii="仿宋_GB2312" w:hAnsi="仿宋_GB2312" w:eastAsia="仿宋_GB2312" w:cs="仿宋_GB2312"/>
          <w:color w:val="000000"/>
          <w:kern w:val="0"/>
          <w:sz w:val="32"/>
          <w:szCs w:val="32"/>
          <w:lang w:eastAsia="zh-CN"/>
        </w:rPr>
        <w:t>工程师证书（或以上），三名拟派专家的专业不得重复。以上人员需提供</w:t>
      </w:r>
      <w:r>
        <w:rPr>
          <w:rFonts w:hint="eastAsia" w:ascii="仿宋_GB2312" w:hAnsi="仿宋_GB2312" w:eastAsia="仿宋_GB2312" w:cs="仿宋_GB2312"/>
          <w:color w:val="000000"/>
          <w:kern w:val="0"/>
          <w:sz w:val="32"/>
          <w:szCs w:val="32"/>
          <w:lang w:val="en-US" w:eastAsia="zh-CN"/>
        </w:rPr>
        <w:t>（1）有效身份证复印件（正反面复印）；（2）上述有效证书复印件；（3）由社保机构（或税务部门等代收单位）出具的该人员2026年1月以来任意一个月在投标人公司缴交基本养老保险的证明材料复印件。</w:t>
      </w:r>
    </w:p>
    <w:p>
      <w:pPr>
        <w:pStyle w:val="10"/>
        <w:keepNext w:val="0"/>
        <w:keepLines w:val="0"/>
        <w:pageBreakBefore w:val="0"/>
        <w:kinsoku/>
        <w:wordWrap/>
        <w:topLinePunct w:val="0"/>
        <w:bidi w:val="0"/>
        <w:spacing w:after="0" w:line="520" w:lineRule="atLeast"/>
        <w:ind w:left="0" w:leftChars="0" w:firstLine="640"/>
        <w:rPr>
          <w:rFonts w:ascii="仿宋_GB2312" w:hAnsi="仿宋_GB2312" w:eastAsia="仿宋_GB2312" w:cs="仿宋_GB2312"/>
          <w:color w:val="000000"/>
          <w:sz w:val="32"/>
          <w:szCs w:val="32"/>
          <w:lang w:eastAsia="zh-CN"/>
        </w:rPr>
      </w:pPr>
      <w:r>
        <w:rPr>
          <w:rFonts w:hint="eastAsia" w:ascii="黑体" w:hAnsi="黑体" w:eastAsia="黑体"/>
          <w:kern w:val="2"/>
          <w:sz w:val="32"/>
          <w:szCs w:val="32"/>
          <w:lang w:eastAsia="zh-CN"/>
        </w:rPr>
        <w:t>六、监管要求</w:t>
      </w:r>
    </w:p>
    <w:p>
      <w:pPr>
        <w:keepNext w:val="0"/>
        <w:keepLines w:val="0"/>
        <w:pageBreakBefore w:val="0"/>
        <w:kinsoku/>
        <w:wordWrap/>
        <w:topLinePunct w:val="0"/>
        <w:bidi w:val="0"/>
        <w:adjustRightInd w:val="0"/>
        <w:snapToGrid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1.按采购人的整体思路和要求，严格依据相关标准，客观、公正、规范地组织实施现场监管考核。不得接受监管对象礼金、礼品或影响考评工作的宴请等。违反或未达到该项监管要求的，处违约金1000元/次。</w:t>
      </w:r>
    </w:p>
    <w:p>
      <w:pPr>
        <w:keepNext w:val="0"/>
        <w:keepLines w:val="0"/>
        <w:pageBreakBefore w:val="0"/>
        <w:kinsoku/>
        <w:wordWrap/>
        <w:topLinePunct w:val="0"/>
        <w:bidi w:val="0"/>
        <w:adjustRightInd w:val="0"/>
        <w:snapToGrid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2.根据监管工作开展情况，及时向采购人反馈异常情况提出整改建议；编制并报送监管</w:t>
      </w:r>
      <w:r>
        <w:rPr>
          <w:rFonts w:hint="eastAsia" w:ascii="仿宋_GB2312" w:hAnsi="仿宋_GB2312" w:eastAsia="仿宋_GB2312" w:cs="仿宋_GB2312"/>
          <w:color w:val="000000"/>
          <w:kern w:val="0"/>
          <w:sz w:val="32"/>
          <w:szCs w:val="32"/>
          <w:lang w:eastAsia="zh-CN"/>
        </w:rPr>
        <w:t>季</w:t>
      </w:r>
      <w:r>
        <w:rPr>
          <w:rFonts w:hint="eastAsia" w:ascii="仿宋_GB2312" w:hAnsi="仿宋_GB2312" w:eastAsia="仿宋_GB2312" w:cs="仿宋_GB2312"/>
          <w:color w:val="000000"/>
          <w:kern w:val="0"/>
          <w:sz w:val="32"/>
          <w:szCs w:val="32"/>
        </w:rPr>
        <w:t>报（电子版和纸质版）；</w:t>
      </w:r>
      <w:r>
        <w:rPr>
          <w:rFonts w:hint="eastAsia" w:ascii="仿宋_GB2312" w:hAnsi="仿宋_GB2312" w:eastAsia="仿宋_GB2312" w:cs="仿宋_GB2312"/>
          <w:color w:val="000000"/>
          <w:kern w:val="0"/>
          <w:sz w:val="32"/>
          <w:szCs w:val="32"/>
          <w:lang w:eastAsia="zh-CN"/>
        </w:rPr>
        <w:t>季</w:t>
      </w:r>
      <w:r>
        <w:rPr>
          <w:rFonts w:hint="eastAsia" w:ascii="仿宋_GB2312" w:hAnsi="仿宋_GB2312" w:eastAsia="仿宋_GB2312" w:cs="仿宋_GB2312"/>
          <w:color w:val="000000"/>
          <w:kern w:val="0"/>
          <w:sz w:val="32"/>
          <w:szCs w:val="32"/>
        </w:rPr>
        <w:t>报于</w:t>
      </w:r>
      <w:r>
        <w:rPr>
          <w:rFonts w:hint="eastAsia" w:ascii="仿宋_GB2312" w:hAnsi="仿宋_GB2312" w:eastAsia="仿宋_GB2312" w:cs="仿宋_GB2312"/>
          <w:color w:val="000000"/>
          <w:kern w:val="0"/>
          <w:sz w:val="32"/>
          <w:szCs w:val="32"/>
          <w:lang w:eastAsia="zh-CN"/>
        </w:rPr>
        <w:t>下一季度</w:t>
      </w:r>
      <w:r>
        <w:rPr>
          <w:rFonts w:hint="eastAsia" w:ascii="仿宋_GB2312" w:hAnsi="仿宋_GB2312" w:eastAsia="仿宋_GB2312" w:cs="仿宋_GB2312"/>
          <w:color w:val="000000"/>
          <w:kern w:val="0"/>
          <w:sz w:val="32"/>
          <w:szCs w:val="32"/>
        </w:rPr>
        <w:t>第7个工作日前，提交上一个</w:t>
      </w:r>
      <w:r>
        <w:rPr>
          <w:rFonts w:hint="eastAsia" w:ascii="仿宋_GB2312" w:hAnsi="仿宋_GB2312" w:eastAsia="仿宋_GB2312" w:cs="仿宋_GB2312"/>
          <w:color w:val="000000"/>
          <w:kern w:val="0"/>
          <w:sz w:val="32"/>
          <w:szCs w:val="32"/>
          <w:lang w:eastAsia="zh-CN"/>
        </w:rPr>
        <w:t>季度</w:t>
      </w:r>
      <w:r>
        <w:rPr>
          <w:rFonts w:hint="eastAsia" w:ascii="仿宋_GB2312" w:hAnsi="仿宋_GB2312" w:eastAsia="仿宋_GB2312" w:cs="仿宋_GB2312"/>
          <w:color w:val="000000"/>
          <w:kern w:val="0"/>
          <w:sz w:val="32"/>
          <w:szCs w:val="32"/>
        </w:rPr>
        <w:t>的监管报告。未按要求及时提供监管报告，或监管报告真实性、完整性存疑的，将不予支付该监管报告</w:t>
      </w:r>
      <w:r>
        <w:rPr>
          <w:rFonts w:hint="eastAsia" w:ascii="仿宋_GB2312" w:hAnsi="仿宋_GB2312" w:eastAsia="仿宋_GB2312" w:cs="仿宋_GB2312"/>
          <w:color w:val="000000"/>
          <w:kern w:val="0"/>
          <w:sz w:val="32"/>
          <w:szCs w:val="32"/>
          <w:lang w:eastAsia="zh-CN"/>
        </w:rPr>
        <w:t>季度</w:t>
      </w:r>
      <w:r>
        <w:rPr>
          <w:rFonts w:hint="eastAsia" w:ascii="仿宋_GB2312" w:hAnsi="仿宋_GB2312" w:eastAsia="仿宋_GB2312" w:cs="仿宋_GB2312"/>
          <w:color w:val="000000"/>
          <w:kern w:val="0"/>
          <w:sz w:val="32"/>
          <w:szCs w:val="32"/>
        </w:rPr>
        <w:t>的监管服务费，并处违约金1000元/次。</w:t>
      </w:r>
    </w:p>
    <w:p>
      <w:pPr>
        <w:keepNext w:val="0"/>
        <w:keepLines w:val="0"/>
        <w:pageBreakBefore w:val="0"/>
        <w:kinsoku/>
        <w:wordWrap/>
        <w:topLinePunct w:val="0"/>
        <w:bidi w:val="0"/>
        <w:adjustRightInd w:val="0"/>
        <w:snapToGrid w:val="0"/>
        <w:spacing w:line="520" w:lineRule="atLeas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.每半年召开一次安全生产总结及安全形势分析会，违反或未达到该项监管要求的，处违约金2000元/次。</w:t>
      </w:r>
    </w:p>
    <w:p>
      <w:pPr>
        <w:keepNext w:val="0"/>
        <w:keepLines w:val="0"/>
        <w:pageBreakBefore w:val="0"/>
        <w:kinsoku/>
        <w:wordWrap/>
        <w:topLinePunct w:val="0"/>
        <w:bidi w:val="0"/>
        <w:adjustRightInd w:val="0"/>
        <w:snapToGrid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.每年（</w:t>
      </w:r>
      <w:r>
        <w:rPr>
          <w:rFonts w:hint="eastAsia" w:ascii="仿宋_GB2312" w:hAnsi="仿宋_GB2312" w:eastAsia="仿宋_GB2312" w:cs="仿宋_GB2312"/>
          <w:color w:val="000000"/>
          <w:kern w:val="0"/>
          <w:sz w:val="32"/>
          <w:szCs w:val="32"/>
          <w:lang w:eastAsia="zh-CN"/>
        </w:rPr>
        <w:t>四个季度</w:t>
      </w:r>
      <w:r>
        <w:rPr>
          <w:rFonts w:hint="eastAsia" w:ascii="仿宋_GB2312" w:hAnsi="仿宋_GB2312" w:eastAsia="仿宋_GB2312" w:cs="仿宋_GB2312"/>
          <w:color w:val="000000"/>
          <w:kern w:val="0"/>
          <w:sz w:val="32"/>
          <w:szCs w:val="32"/>
        </w:rPr>
        <w:t>）考评工作完成后，向采购人提交完整、详细的年度分析报告。违反该项监管要求，不予支付相应的监管服务费用，并处违约金5000元。</w:t>
      </w:r>
    </w:p>
    <w:p>
      <w:pPr>
        <w:pStyle w:val="10"/>
        <w:keepNext w:val="0"/>
        <w:keepLines w:val="0"/>
        <w:pageBreakBefore w:val="0"/>
        <w:kinsoku/>
        <w:wordWrap/>
        <w:topLinePunct w:val="0"/>
        <w:bidi w:val="0"/>
        <w:spacing w:after="0" w:line="520" w:lineRule="atLeast"/>
        <w:ind w:left="0" w:leftChars="0" w:firstLine="640"/>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5.每期检查可根据不同安全形势，开展专项安全检查，如有限空间、消防安全、防汛备汛等，违反或未达到该项监管要求的，处违约金3000元/次。</w:t>
      </w:r>
    </w:p>
    <w:p>
      <w:pPr>
        <w:keepNext w:val="0"/>
        <w:keepLines w:val="0"/>
        <w:pageBreakBefore w:val="0"/>
        <w:kinsoku/>
        <w:wordWrap/>
        <w:topLinePunct w:val="0"/>
        <w:bidi w:val="0"/>
        <w:adjustRightInd w:val="0"/>
        <w:snapToGrid w:val="0"/>
        <w:spacing w:line="52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6.及时响应采购人关于垃圾处置终端行业、政策、技术等方面的咨询。违反或未达到该项监管要求的，处违约金500元/次。</w:t>
      </w:r>
    </w:p>
    <w:p>
      <w:pPr>
        <w:pStyle w:val="2"/>
        <w:keepNext w:val="0"/>
        <w:keepLines w:val="0"/>
        <w:pageBreakBefore w:val="0"/>
        <w:kinsoku/>
        <w:wordWrap/>
        <w:topLinePunct w:val="0"/>
        <w:bidi w:val="0"/>
        <w:spacing w:line="52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7.每期检查专家信息报采购人备案，专家人数，专家资质相关证书等。违反或未达到该项监管要求的，处违约金500元/次。</w:t>
      </w:r>
    </w:p>
    <w:p>
      <w:pPr>
        <w:pStyle w:val="10"/>
        <w:keepNext w:val="0"/>
        <w:keepLines w:val="0"/>
        <w:pageBreakBefore w:val="0"/>
        <w:kinsoku/>
        <w:wordWrap/>
        <w:topLinePunct w:val="0"/>
        <w:bidi w:val="0"/>
        <w:spacing w:after="0" w:line="520" w:lineRule="atLeast"/>
        <w:ind w:left="0" w:leftChars="0" w:firstLine="640"/>
        <w:rPr>
          <w:rFonts w:ascii="仿宋_GB2312" w:hAnsi="仿宋_GB2312" w:eastAsia="仿宋_GB2312" w:cs="仿宋_GB2312"/>
          <w:color w:val="000000"/>
          <w:sz w:val="32"/>
          <w:szCs w:val="32"/>
          <w:lang w:eastAsia="zh-CN"/>
        </w:rPr>
      </w:pPr>
      <w:r>
        <w:rPr>
          <w:rFonts w:hint="eastAsia" w:ascii="黑体" w:hAnsi="黑体" w:eastAsia="黑体"/>
          <w:kern w:val="2"/>
          <w:sz w:val="32"/>
          <w:szCs w:val="32"/>
          <w:lang w:eastAsia="zh-CN"/>
        </w:rPr>
        <w:t>七、监管服务计划</w:t>
      </w:r>
    </w:p>
    <w:p>
      <w:pPr>
        <w:keepNext w:val="0"/>
        <w:keepLines w:val="0"/>
        <w:pageBreakBefore w:val="0"/>
        <w:kinsoku/>
        <w:wordWrap/>
        <w:topLinePunct w:val="0"/>
        <w:bidi w:val="0"/>
        <w:adjustRightInd w:val="0"/>
        <w:snapToGrid w:val="0"/>
        <w:spacing w:line="520" w:lineRule="atLeas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每季度</w:t>
      </w:r>
      <w:r>
        <w:rPr>
          <w:rFonts w:hint="eastAsia" w:ascii="仿宋_GB2312" w:hAnsi="仿宋_GB2312" w:eastAsia="仿宋_GB2312" w:cs="仿宋_GB2312"/>
          <w:color w:val="000000"/>
          <w:kern w:val="0"/>
          <w:sz w:val="32"/>
          <w:szCs w:val="32"/>
          <w:lang w:val="en-US" w:eastAsia="zh-CN" w:bidi="ar-SA"/>
        </w:rPr>
        <w:t>对</w:t>
      </w:r>
      <w:r>
        <w:rPr>
          <w:rFonts w:hint="eastAsia" w:ascii="仿宋_GB2312" w:hAnsi="仿宋_GB2312" w:eastAsia="仿宋_GB2312" w:cs="仿宋_GB2312"/>
          <w:sz w:val="32"/>
          <w:szCs w:val="32"/>
        </w:rPr>
        <w:t>中心城区生活垃圾处理设施</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000000"/>
          <w:kern w:val="0"/>
          <w:sz w:val="32"/>
          <w:szCs w:val="32"/>
        </w:rPr>
        <w:t>现场安全检查。</w:t>
      </w:r>
    </w:p>
    <w:p>
      <w:pPr>
        <w:keepNext w:val="0"/>
        <w:keepLines w:val="0"/>
        <w:pageBreakBefore w:val="0"/>
        <w:kinsoku/>
        <w:wordWrap/>
        <w:topLinePunct w:val="0"/>
        <w:bidi w:val="0"/>
        <w:adjustRightInd w:val="0"/>
        <w:snapToGrid w:val="0"/>
        <w:spacing w:line="520" w:lineRule="atLeas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每半年</w:t>
      </w:r>
      <w:r>
        <w:rPr>
          <w:rFonts w:hint="eastAsia" w:ascii="仿宋_GB2312" w:hAnsi="仿宋_GB2312" w:eastAsia="仿宋_GB2312" w:cs="仿宋_GB2312"/>
          <w:color w:val="000000"/>
          <w:kern w:val="0"/>
          <w:sz w:val="32"/>
          <w:szCs w:val="32"/>
        </w:rPr>
        <w:t>对各县（市、区）</w:t>
      </w:r>
      <w:r>
        <w:rPr>
          <w:rFonts w:hint="eastAsia" w:ascii="仿宋_GB2312" w:hAnsi="仿宋_GB2312" w:eastAsia="仿宋_GB2312" w:cs="仿宋_GB2312"/>
          <w:color w:val="000000"/>
          <w:sz w:val="32"/>
          <w:szCs w:val="32"/>
        </w:rPr>
        <w:t>环卫主管部门垃圾处理设施监管责任落实情况</w:t>
      </w:r>
      <w:r>
        <w:rPr>
          <w:rFonts w:hint="eastAsia" w:ascii="仿宋_GB2312" w:hAnsi="仿宋_GB2312" w:eastAsia="仿宋_GB2312" w:cs="仿宋_GB2312"/>
          <w:color w:val="000000"/>
          <w:sz w:val="32"/>
          <w:szCs w:val="32"/>
          <w:lang w:eastAsia="zh-CN"/>
        </w:rPr>
        <w:t>及垃圾处理设施安全运行情况</w:t>
      </w:r>
      <w:r>
        <w:rPr>
          <w:rFonts w:hint="eastAsia" w:ascii="仿宋_GB2312" w:hAnsi="仿宋_GB2312" w:eastAsia="仿宋_GB2312" w:cs="仿宋_GB2312"/>
          <w:color w:val="000000"/>
          <w:sz w:val="32"/>
          <w:szCs w:val="32"/>
        </w:rPr>
        <w:t>进行检查</w:t>
      </w:r>
      <w:r>
        <w:rPr>
          <w:rFonts w:hint="eastAsia" w:ascii="仿宋_GB2312" w:hAnsi="仿宋_GB2312" w:eastAsia="仿宋_GB2312" w:cs="仿宋_GB2312"/>
          <w:color w:val="000000"/>
          <w:sz w:val="32"/>
          <w:szCs w:val="32"/>
          <w:lang w:eastAsia="zh-CN"/>
        </w:rPr>
        <w:t>。</w:t>
      </w:r>
    </w:p>
    <w:p>
      <w:pPr>
        <w:pStyle w:val="10"/>
        <w:keepNext w:val="0"/>
        <w:keepLines w:val="0"/>
        <w:pageBreakBefore w:val="0"/>
        <w:kinsoku/>
        <w:wordWrap/>
        <w:topLinePunct w:val="0"/>
        <w:bidi w:val="0"/>
        <w:spacing w:after="0" w:line="520" w:lineRule="atLeast"/>
        <w:ind w:left="0" w:leftChars="0" w:firstLine="640"/>
        <w:rPr>
          <w:rFonts w:hint="default" w:ascii="仿宋_GB2312" w:hAnsi="仿宋_GB2312" w:eastAsia="仿宋_GB2312" w:cs="仿宋_GB2312"/>
          <w:color w:val="000000"/>
          <w:sz w:val="32"/>
          <w:szCs w:val="32"/>
          <w:lang w:val="en-US" w:eastAsia="zh-CN"/>
        </w:rPr>
      </w:pPr>
      <w:r>
        <w:rPr>
          <w:rFonts w:hint="eastAsia" w:ascii="黑体" w:hAnsi="黑体" w:eastAsia="黑体"/>
          <w:kern w:val="2"/>
          <w:sz w:val="32"/>
          <w:szCs w:val="32"/>
          <w:lang w:eastAsia="zh-CN"/>
        </w:rPr>
        <w:t>八、采购限价和服务期限</w:t>
      </w:r>
    </w:p>
    <w:p>
      <w:pPr>
        <w:keepNext w:val="0"/>
        <w:keepLines w:val="0"/>
        <w:pageBreakBefore w:val="0"/>
        <w:widowControl/>
        <w:numPr>
          <w:ilvl w:val="0"/>
          <w:numId w:val="0"/>
        </w:numPr>
        <w:kinsoku/>
        <w:wordWrap/>
        <w:overflowPunct/>
        <w:topLinePunct w:val="0"/>
        <w:autoSpaceDE/>
        <w:autoSpaceDN/>
        <w:bidi w:val="0"/>
        <w:adjustRightInd/>
        <w:snapToGrid/>
        <w:spacing w:line="520" w:lineRule="atLeas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项目采购限价为11.98万元，服务期一年。</w:t>
      </w:r>
      <w:r>
        <w:rPr>
          <w:rFonts w:hint="eastAsia" w:ascii="仿宋_GB2312" w:hAnsi="宋体" w:eastAsia="仿宋_GB2312"/>
          <w:bCs/>
          <w:color w:val="auto"/>
          <w:sz w:val="32"/>
          <w:szCs w:val="32"/>
          <w:lang w:val="en-US" w:eastAsia="zh-CN"/>
        </w:rPr>
        <w:t>根据</w:t>
      </w:r>
      <w:r>
        <w:rPr>
          <w:rFonts w:hint="eastAsia" w:ascii="仿宋_GB2312" w:hAnsi="宋体" w:eastAsia="仿宋_GB2312"/>
          <w:bCs/>
          <w:color w:val="auto"/>
          <w:sz w:val="32"/>
          <w:szCs w:val="32"/>
          <w:lang w:eastAsia="zh-CN"/>
        </w:rPr>
        <w:t>考核情况，</w:t>
      </w:r>
      <w:r>
        <w:rPr>
          <w:rFonts w:hint="eastAsia" w:ascii="仿宋_GB2312" w:hAnsi="仿宋_GB2312" w:eastAsia="仿宋_GB2312" w:cs="仿宋_GB2312"/>
          <w:sz w:val="32"/>
          <w:szCs w:val="32"/>
          <w:lang w:eastAsia="zh-CN"/>
        </w:rPr>
        <w:t>每季度</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CN"/>
        </w:rPr>
        <w:t>一次</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eastAsia="zh-CN"/>
        </w:rPr>
        <w:t>，费用由垃圾处理专项经费列支。</w:t>
      </w:r>
    </w:p>
    <w:p>
      <w:pPr>
        <w:pStyle w:val="10"/>
        <w:keepNext w:val="0"/>
        <w:keepLines w:val="0"/>
        <w:pageBreakBefore w:val="0"/>
        <w:kinsoku/>
        <w:wordWrap/>
        <w:topLinePunct w:val="0"/>
        <w:bidi w:val="0"/>
        <w:spacing w:after="0" w:line="520" w:lineRule="atLeast"/>
        <w:ind w:left="0" w:leftChars="0" w:firstLine="640"/>
        <w:rPr>
          <w:rFonts w:ascii="仿宋_GB2312" w:hAnsi="仿宋_GB2312" w:eastAsia="仿宋_GB2312" w:cs="仿宋_GB2312"/>
          <w:color w:val="000000"/>
          <w:sz w:val="32"/>
          <w:szCs w:val="32"/>
          <w:lang w:eastAsia="zh-CN"/>
        </w:rPr>
      </w:pPr>
      <w:r>
        <w:rPr>
          <w:rFonts w:hint="eastAsia" w:ascii="黑体" w:hAnsi="黑体" w:eastAsia="黑体"/>
          <w:kern w:val="2"/>
          <w:sz w:val="32"/>
          <w:szCs w:val="32"/>
          <w:lang w:eastAsia="zh-CN"/>
        </w:rPr>
        <w:t>九、</w:t>
      </w:r>
      <w:r>
        <w:rPr>
          <w:rFonts w:hint="eastAsia" w:ascii="黑体" w:hAnsi="黑体" w:eastAsia="黑体" w:cs="黑体"/>
          <w:sz w:val="32"/>
          <w:szCs w:val="32"/>
          <w:lang w:val="en-US" w:eastAsia="zh-CN"/>
        </w:rPr>
        <w:t>采购方式</w:t>
      </w:r>
    </w:p>
    <w:p>
      <w:pPr>
        <w:pStyle w:val="2"/>
        <w:keepNext w:val="0"/>
        <w:keepLines w:val="0"/>
        <w:pageBreakBefore w:val="0"/>
        <w:kinsoku/>
        <w:wordWrap/>
        <w:topLinePunct w:val="0"/>
        <w:bidi w:val="0"/>
        <w:spacing w:line="520" w:lineRule="atLeast"/>
        <w:ind w:firstLine="640" w:firstLineChars="200"/>
        <w:rPr>
          <w:rFonts w:ascii="黑体" w:hAnsi="黑体" w:eastAsia="黑体"/>
          <w:sz w:val="32"/>
          <w:szCs w:val="32"/>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lang w:eastAsia="zh-CN"/>
        </w:rPr>
        <w:t>市财政局及局内控制度</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，建议</w:t>
      </w:r>
      <w:r>
        <w:rPr>
          <w:rFonts w:hint="eastAsia" w:ascii="仿宋_GB2312" w:hAnsi="仿宋_GB2312" w:eastAsia="仿宋_GB2312" w:cs="仿宋_GB2312"/>
          <w:color w:val="auto"/>
          <w:sz w:val="32"/>
          <w:szCs w:val="32"/>
        </w:rPr>
        <w:t>采用</w:t>
      </w:r>
      <w:r>
        <w:rPr>
          <w:rFonts w:hint="eastAsia" w:ascii="仿宋_GB2312" w:hAnsi="仿宋_GB2312" w:eastAsia="仿宋_GB2312" w:cs="仿宋_GB2312"/>
          <w:color w:val="auto"/>
          <w:sz w:val="32"/>
          <w:szCs w:val="32"/>
          <w:lang w:eastAsia="zh-CN"/>
        </w:rPr>
        <w:t>局门户网站公开</w:t>
      </w:r>
      <w:r>
        <w:rPr>
          <w:rFonts w:hint="eastAsia" w:ascii="仿宋_GB2312" w:hAnsi="仿宋_GB2312" w:eastAsia="仿宋_GB2312" w:cs="仿宋_GB2312"/>
          <w:sz w:val="32"/>
          <w:szCs w:val="32"/>
          <w:lang w:val="en-US" w:eastAsia="zh-CN"/>
        </w:rPr>
        <w:t>询价，按最低价中标方式确定供应商。</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8278"/>
      <w:docPartObj>
        <w:docPartGallery w:val="autotext"/>
      </w:docPartObj>
    </w:sdtPr>
    <w:sdtContent>
      <w:p>
        <w:pPr>
          <w:pStyle w:val="7"/>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8287"/>
      <w:docPartObj>
        <w:docPartGallery w:val="autotext"/>
      </w:docPartObj>
    </w:sdtPr>
    <w:sdtContent>
      <w:p>
        <w:pPr>
          <w:pStyle w:val="7"/>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ZlYmM4NDZiMjdhNWE5OTg5ZjY3MGJhNDYzODY5ZTUifQ=="/>
  </w:docVars>
  <w:rsids>
    <w:rsidRoot w:val="00A43419"/>
    <w:rsid w:val="000078E1"/>
    <w:rsid w:val="000827EF"/>
    <w:rsid w:val="000851A3"/>
    <w:rsid w:val="000A1E3E"/>
    <w:rsid w:val="000B2FC1"/>
    <w:rsid w:val="000B438D"/>
    <w:rsid w:val="000C7156"/>
    <w:rsid w:val="000E4C81"/>
    <w:rsid w:val="000E73BB"/>
    <w:rsid w:val="000F2322"/>
    <w:rsid w:val="001031D6"/>
    <w:rsid w:val="0015692C"/>
    <w:rsid w:val="0016746D"/>
    <w:rsid w:val="0019182A"/>
    <w:rsid w:val="00192E45"/>
    <w:rsid w:val="001B31D4"/>
    <w:rsid w:val="001F3A33"/>
    <w:rsid w:val="00200116"/>
    <w:rsid w:val="002154FF"/>
    <w:rsid w:val="00241035"/>
    <w:rsid w:val="00272538"/>
    <w:rsid w:val="002C7D28"/>
    <w:rsid w:val="002D14D0"/>
    <w:rsid w:val="002E0CDE"/>
    <w:rsid w:val="002E76DA"/>
    <w:rsid w:val="00310EC5"/>
    <w:rsid w:val="00320F69"/>
    <w:rsid w:val="00326F8A"/>
    <w:rsid w:val="00334304"/>
    <w:rsid w:val="00337126"/>
    <w:rsid w:val="00380BEA"/>
    <w:rsid w:val="003857A6"/>
    <w:rsid w:val="003970AB"/>
    <w:rsid w:val="003A49B4"/>
    <w:rsid w:val="003C2847"/>
    <w:rsid w:val="003C2AF1"/>
    <w:rsid w:val="004342D3"/>
    <w:rsid w:val="00476268"/>
    <w:rsid w:val="00491040"/>
    <w:rsid w:val="004A4F43"/>
    <w:rsid w:val="004B3980"/>
    <w:rsid w:val="00511FE5"/>
    <w:rsid w:val="00533EEC"/>
    <w:rsid w:val="00541F6A"/>
    <w:rsid w:val="0058418A"/>
    <w:rsid w:val="005F015C"/>
    <w:rsid w:val="0064099F"/>
    <w:rsid w:val="00643494"/>
    <w:rsid w:val="00645D46"/>
    <w:rsid w:val="00651481"/>
    <w:rsid w:val="0068016E"/>
    <w:rsid w:val="00682EF7"/>
    <w:rsid w:val="00686369"/>
    <w:rsid w:val="006A175D"/>
    <w:rsid w:val="006B6243"/>
    <w:rsid w:val="006C2042"/>
    <w:rsid w:val="006F517E"/>
    <w:rsid w:val="006F7D52"/>
    <w:rsid w:val="00707FB8"/>
    <w:rsid w:val="00731CDE"/>
    <w:rsid w:val="00733417"/>
    <w:rsid w:val="00746575"/>
    <w:rsid w:val="00757189"/>
    <w:rsid w:val="00776BF6"/>
    <w:rsid w:val="007828FA"/>
    <w:rsid w:val="00783ED6"/>
    <w:rsid w:val="007B3755"/>
    <w:rsid w:val="007F723D"/>
    <w:rsid w:val="00880371"/>
    <w:rsid w:val="00892A8F"/>
    <w:rsid w:val="008A01D4"/>
    <w:rsid w:val="00901871"/>
    <w:rsid w:val="009079E7"/>
    <w:rsid w:val="00915770"/>
    <w:rsid w:val="009357E1"/>
    <w:rsid w:val="0095196F"/>
    <w:rsid w:val="0096436A"/>
    <w:rsid w:val="0097018E"/>
    <w:rsid w:val="00970950"/>
    <w:rsid w:val="00980FD9"/>
    <w:rsid w:val="009D3C34"/>
    <w:rsid w:val="009E4DCC"/>
    <w:rsid w:val="009F33A2"/>
    <w:rsid w:val="00A00797"/>
    <w:rsid w:val="00A10E38"/>
    <w:rsid w:val="00A25AFF"/>
    <w:rsid w:val="00A27709"/>
    <w:rsid w:val="00A32344"/>
    <w:rsid w:val="00A43419"/>
    <w:rsid w:val="00A53841"/>
    <w:rsid w:val="00A61AE7"/>
    <w:rsid w:val="00A71323"/>
    <w:rsid w:val="00A75C7A"/>
    <w:rsid w:val="00A93298"/>
    <w:rsid w:val="00AF31EA"/>
    <w:rsid w:val="00AF77AA"/>
    <w:rsid w:val="00B2248A"/>
    <w:rsid w:val="00B450F4"/>
    <w:rsid w:val="00B57240"/>
    <w:rsid w:val="00B633EF"/>
    <w:rsid w:val="00B84908"/>
    <w:rsid w:val="00B9306C"/>
    <w:rsid w:val="00BB4866"/>
    <w:rsid w:val="00BC5E18"/>
    <w:rsid w:val="00BD40D7"/>
    <w:rsid w:val="00BD52AC"/>
    <w:rsid w:val="00C36894"/>
    <w:rsid w:val="00C70DFF"/>
    <w:rsid w:val="00CA47DC"/>
    <w:rsid w:val="00CB143E"/>
    <w:rsid w:val="00CB70DA"/>
    <w:rsid w:val="00CD6E68"/>
    <w:rsid w:val="00D2786F"/>
    <w:rsid w:val="00D55E1F"/>
    <w:rsid w:val="00D86404"/>
    <w:rsid w:val="00DA7486"/>
    <w:rsid w:val="00DB008A"/>
    <w:rsid w:val="00DB1370"/>
    <w:rsid w:val="00DB6A17"/>
    <w:rsid w:val="00DE1A60"/>
    <w:rsid w:val="00DF3558"/>
    <w:rsid w:val="00DF571A"/>
    <w:rsid w:val="00DF650F"/>
    <w:rsid w:val="00E21664"/>
    <w:rsid w:val="00E21E9D"/>
    <w:rsid w:val="00E76159"/>
    <w:rsid w:val="00EB12B7"/>
    <w:rsid w:val="00EC13E2"/>
    <w:rsid w:val="00EC35CC"/>
    <w:rsid w:val="00ED101C"/>
    <w:rsid w:val="00F054C4"/>
    <w:rsid w:val="00F37EE8"/>
    <w:rsid w:val="00F55E06"/>
    <w:rsid w:val="00F64763"/>
    <w:rsid w:val="00F64E72"/>
    <w:rsid w:val="00F8517F"/>
    <w:rsid w:val="00F94BF7"/>
    <w:rsid w:val="00FB2FC9"/>
    <w:rsid w:val="00FE0F6D"/>
    <w:rsid w:val="02EB54AD"/>
    <w:rsid w:val="0A2307C4"/>
    <w:rsid w:val="0BD004C9"/>
    <w:rsid w:val="0E2F8A84"/>
    <w:rsid w:val="0EB510C8"/>
    <w:rsid w:val="0F3D64E5"/>
    <w:rsid w:val="11567CCE"/>
    <w:rsid w:val="12BD69C1"/>
    <w:rsid w:val="14404097"/>
    <w:rsid w:val="144B3AE7"/>
    <w:rsid w:val="18046C2B"/>
    <w:rsid w:val="1B4606C6"/>
    <w:rsid w:val="1B699A79"/>
    <w:rsid w:val="1BDC3C99"/>
    <w:rsid w:val="1C8C20A0"/>
    <w:rsid w:val="1FD760E7"/>
    <w:rsid w:val="217741FF"/>
    <w:rsid w:val="23EA215E"/>
    <w:rsid w:val="27734044"/>
    <w:rsid w:val="27B914D3"/>
    <w:rsid w:val="2F0361F1"/>
    <w:rsid w:val="30EA240B"/>
    <w:rsid w:val="339715FE"/>
    <w:rsid w:val="34E9F302"/>
    <w:rsid w:val="357065AB"/>
    <w:rsid w:val="380E1DA6"/>
    <w:rsid w:val="388A07CB"/>
    <w:rsid w:val="391536F1"/>
    <w:rsid w:val="3D713E94"/>
    <w:rsid w:val="3D8E2594"/>
    <w:rsid w:val="3DED7C67"/>
    <w:rsid w:val="3DF69CD6"/>
    <w:rsid w:val="3EFB41F2"/>
    <w:rsid w:val="3F57F82D"/>
    <w:rsid w:val="3FF9C52C"/>
    <w:rsid w:val="40C73A9C"/>
    <w:rsid w:val="44175EB9"/>
    <w:rsid w:val="45916254"/>
    <w:rsid w:val="46902609"/>
    <w:rsid w:val="47BE02E0"/>
    <w:rsid w:val="487429A3"/>
    <w:rsid w:val="48D34A2F"/>
    <w:rsid w:val="4A473A54"/>
    <w:rsid w:val="4C0E6312"/>
    <w:rsid w:val="4CAC0DF4"/>
    <w:rsid w:val="4D895126"/>
    <w:rsid w:val="4F8B5318"/>
    <w:rsid w:val="4FFF6D0F"/>
    <w:rsid w:val="50966448"/>
    <w:rsid w:val="51FA8DCC"/>
    <w:rsid w:val="52F35B02"/>
    <w:rsid w:val="567A4602"/>
    <w:rsid w:val="57A50C4F"/>
    <w:rsid w:val="599B3347"/>
    <w:rsid w:val="5AE5766E"/>
    <w:rsid w:val="5ED7B3EF"/>
    <w:rsid w:val="5FFE9628"/>
    <w:rsid w:val="614B3532"/>
    <w:rsid w:val="64B8639A"/>
    <w:rsid w:val="65913160"/>
    <w:rsid w:val="66EE2460"/>
    <w:rsid w:val="6B3F8042"/>
    <w:rsid w:val="6C77214B"/>
    <w:rsid w:val="6C7F9869"/>
    <w:rsid w:val="6E567B8A"/>
    <w:rsid w:val="6E5F1E81"/>
    <w:rsid w:val="6EA84FC0"/>
    <w:rsid w:val="6F4F022A"/>
    <w:rsid w:val="73D7FD50"/>
    <w:rsid w:val="73DF007C"/>
    <w:rsid w:val="755F1136"/>
    <w:rsid w:val="75EF4B56"/>
    <w:rsid w:val="75FEA79D"/>
    <w:rsid w:val="762414F4"/>
    <w:rsid w:val="77AFF3E1"/>
    <w:rsid w:val="77DD44E4"/>
    <w:rsid w:val="79123D5C"/>
    <w:rsid w:val="7A3E89F7"/>
    <w:rsid w:val="7A91A98E"/>
    <w:rsid w:val="7AB7A810"/>
    <w:rsid w:val="7AEC944A"/>
    <w:rsid w:val="7BEFFEAD"/>
    <w:rsid w:val="7CF5D027"/>
    <w:rsid w:val="7CFFDC51"/>
    <w:rsid w:val="7DAF20D2"/>
    <w:rsid w:val="7F3F25FC"/>
    <w:rsid w:val="7F753199"/>
    <w:rsid w:val="7FCF1F29"/>
    <w:rsid w:val="7FFE8CCC"/>
    <w:rsid w:val="9BFE0457"/>
    <w:rsid w:val="9DF4CBDF"/>
    <w:rsid w:val="AAF7F3CA"/>
    <w:rsid w:val="AB9FF4DC"/>
    <w:rsid w:val="ABBCADBD"/>
    <w:rsid w:val="BA7B23C6"/>
    <w:rsid w:val="BBDD06C3"/>
    <w:rsid w:val="BF744F5B"/>
    <w:rsid w:val="BFEF0B26"/>
    <w:rsid w:val="BFEFA68D"/>
    <w:rsid w:val="CF7D4823"/>
    <w:rsid w:val="D6FC086E"/>
    <w:rsid w:val="D9BF456A"/>
    <w:rsid w:val="D9F1E814"/>
    <w:rsid w:val="DDBF84AB"/>
    <w:rsid w:val="DF7F10C9"/>
    <w:rsid w:val="E77F7999"/>
    <w:rsid w:val="EDFFC1C0"/>
    <w:rsid w:val="EEFF11F5"/>
    <w:rsid w:val="EF39D7C4"/>
    <w:rsid w:val="EF6F27B2"/>
    <w:rsid w:val="F5CD62DD"/>
    <w:rsid w:val="F76F1D29"/>
    <w:rsid w:val="F9BFA878"/>
    <w:rsid w:val="F9C15771"/>
    <w:rsid w:val="F9E6A9E3"/>
    <w:rsid w:val="FB7F6B9D"/>
    <w:rsid w:val="FBDEA29F"/>
    <w:rsid w:val="FCCB9171"/>
    <w:rsid w:val="FDAF9D38"/>
    <w:rsid w:val="FEFD8212"/>
    <w:rsid w:val="FF1FD563"/>
    <w:rsid w:val="FFA9F3F1"/>
    <w:rsid w:val="FFAD6DBE"/>
    <w:rsid w:val="FFBB58BA"/>
    <w:rsid w:val="FFE6CD81"/>
    <w:rsid w:val="FFEEF4E1"/>
    <w:rsid w:val="FFF7438B"/>
    <w:rsid w:val="FFFF9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99"/>
    <w:pPr>
      <w:ind w:firstLine="420"/>
    </w:pPr>
    <w:rPr>
      <w:rFonts w:cs="宋体"/>
      <w:szCs w:val="20"/>
    </w:rPr>
  </w:style>
  <w:style w:type="paragraph" w:styleId="4">
    <w:name w:val="annotation text"/>
    <w:basedOn w:val="1"/>
    <w:unhideWhenUsed/>
    <w:qFormat/>
    <w:uiPriority w:val="99"/>
    <w:pPr>
      <w:jc w:val="left"/>
    </w:pPr>
  </w:style>
  <w:style w:type="paragraph" w:styleId="5">
    <w:name w:val="Body Text Indent"/>
    <w:basedOn w:val="1"/>
    <w:qFormat/>
    <w:uiPriority w:val="0"/>
    <w:pPr>
      <w:ind w:firstLine="645"/>
    </w:pPr>
    <w:rPr>
      <w:rFonts w:ascii="楷体_GB2312" w:eastAsia="楷体_GB2312"/>
      <w:sz w:val="32"/>
      <w:szCs w:val="20"/>
    </w:rPr>
  </w:style>
  <w:style w:type="paragraph" w:styleId="6">
    <w:name w:val="Balloon Text"/>
    <w:basedOn w:val="1"/>
    <w:link w:val="15"/>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Autospacing="1" w:afterAutospacing="1"/>
      <w:jc w:val="left"/>
    </w:pPr>
    <w:rPr>
      <w:rFonts w:ascii="宋体" w:hAnsi="宋体" w:cs="宋体" w:eastAsiaTheme="minorEastAsia"/>
      <w:kern w:val="0"/>
      <w:sz w:val="24"/>
    </w:rPr>
  </w:style>
  <w:style w:type="paragraph" w:styleId="10">
    <w:name w:val="Body Text First Indent 2"/>
    <w:basedOn w:val="5"/>
    <w:next w:val="1"/>
    <w:qFormat/>
    <w:uiPriority w:val="0"/>
    <w:pPr>
      <w:spacing w:after="120" w:line="276" w:lineRule="auto"/>
      <w:ind w:left="420" w:leftChars="200" w:firstLine="420" w:firstLineChars="200"/>
      <w:jc w:val="left"/>
    </w:pPr>
    <w:rPr>
      <w:rFonts w:ascii="Calibri"/>
      <w:kern w:val="0"/>
      <w:sz w:val="22"/>
      <w:szCs w:val="22"/>
      <w:lang w:eastAsia="en-U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0"/>
    <w:pPr>
      <w:ind w:firstLine="420" w:firstLineChars="200"/>
    </w:pPr>
    <w:rPr>
      <w:rFonts w:asciiTheme="minorHAnsi" w:hAnsiTheme="minorHAnsi" w:eastAsiaTheme="minorEastAsia" w:cstheme="minorBidi"/>
      <w:szCs w:val="22"/>
    </w:rPr>
  </w:style>
  <w:style w:type="character" w:customStyle="1" w:styleId="15">
    <w:name w:val="批注框文本 Char"/>
    <w:basedOn w:val="13"/>
    <w:link w:val="6"/>
    <w:qFormat/>
    <w:uiPriority w:val="0"/>
    <w:rPr>
      <w:rFonts w:ascii="Calibri" w:hAnsi="Calibri" w:cs="黑体"/>
      <w:kern w:val="2"/>
      <w:sz w:val="18"/>
      <w:szCs w:val="18"/>
    </w:rPr>
  </w:style>
  <w:style w:type="paragraph" w:customStyle="1" w:styleId="16">
    <w:name w:val="HtmlNormal"/>
    <w:basedOn w:val="1"/>
    <w:qFormat/>
    <w:uiPriority w:val="0"/>
    <w:pPr>
      <w:widowControl/>
      <w:spacing w:before="100" w:beforeAutospacing="1" w:after="100" w:afterAutospacing="1"/>
      <w:jc w:val="left"/>
      <w:textAlignment w:val="baseline"/>
    </w:pPr>
    <w:rPr>
      <w:kern w:val="0"/>
      <w:sz w:val="24"/>
    </w:rPr>
  </w:style>
  <w:style w:type="character" w:customStyle="1" w:styleId="17">
    <w:name w:val="NormalCharacter"/>
    <w:semiHidden/>
    <w:qFormat/>
    <w:uiPriority w:val="0"/>
  </w:style>
  <w:style w:type="paragraph" w:customStyle="1" w:styleId="18">
    <w:name w:val="null3"/>
    <w:qFormat/>
    <w:uiPriority w:val="0"/>
    <w:rPr>
      <w:rFonts w:hint="eastAsia" w:ascii="Calibri" w:hAnsi="Calibri" w:eastAsia="宋体" w:cs="Times New Roman"/>
      <w:lang w:val="en-US" w:eastAsia="zh-CN" w:bidi="ar-SA"/>
    </w:rPr>
  </w:style>
  <w:style w:type="paragraph" w:customStyle="1" w:styleId="19">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20">
    <w:name w:val="页脚 Char"/>
    <w:basedOn w:val="13"/>
    <w:link w:val="7"/>
    <w:qFormat/>
    <w:uiPriority w:val="99"/>
    <w:rPr>
      <w:rFonts w:ascii="Calibri" w:hAnsi="Calibri" w:cs="黑体"/>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678</Words>
  <Characters>3869</Characters>
  <Lines>32</Lines>
  <Paragraphs>9</Paragraphs>
  <TotalTime>0</TotalTime>
  <ScaleCrop>false</ScaleCrop>
  <LinksUpToDate>false</LinksUpToDate>
  <CharactersWithSpaces>4538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2022-04-20T17:35:00Z</dcterms:created>
  <dc:creator>Administrator</dc:creator>
  <cp:lastModifiedBy>lyadmin</cp:lastModifiedBy>
  <cp:lastPrinted>2026-06-09T07:56:15Z</cp:lastPrinted>
  <dcterms:modified xsi:type="dcterms:W3CDTF">2026-06-09T09:03:13Z</dcterms:modified>
  <dc:title>龙岩市园林绿化中心关于**项目招标（采购）方案的情况汇报</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AFC1DBFF523BA546C94D176660F5496E</vt:lpwstr>
  </property>
</Properties>
</file>