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B9C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0" w:firstLineChars="200"/>
        <w:jc w:val="center"/>
        <w:textAlignment w:val="auto"/>
        <w:rPr>
          <w:rStyle w:val="6"/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《龙岩市建筑垃圾处置管理办法</w:t>
      </w:r>
    </w:p>
    <w:p w14:paraId="246A47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0" w:firstLineChars="200"/>
        <w:jc w:val="center"/>
        <w:textAlignment w:val="auto"/>
        <w:rPr>
          <w:rStyle w:val="6"/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（修订）》起草说明</w:t>
      </w:r>
    </w:p>
    <w:p w14:paraId="3B884447">
      <w:pPr>
        <w:spacing w:line="600" w:lineRule="exact"/>
        <w:jc w:val="center"/>
        <w:rPr>
          <w:rFonts w:ascii="楷体_GB2312" w:hAnsi="仿宋" w:eastAsia="楷体_GB2312" w:cs="仿宋"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</w:rPr>
        <w:t>龙岩市城市管理局</w:t>
      </w:r>
    </w:p>
    <w:p w14:paraId="4A4ABE1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0" w:firstLineChars="200"/>
        <w:jc w:val="center"/>
        <w:textAlignment w:val="auto"/>
        <w:rPr>
          <w:rStyle w:val="6"/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73C3AB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规范我市建筑垃圾处置秩序，加强扬尘污染防治，健全建筑垃圾全过程监管机制，依据国家、省、市有关法律法规和政策规定，结合我市实际，对《龙岩市建筑垃圾处置管理办法》进行修订。现将有关起草情况说明如下：</w:t>
      </w:r>
    </w:p>
    <w:p w14:paraId="49DE9B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一、起草背景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 w14:paraId="7FB861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楷体"/>
          <w:b/>
          <w:bCs/>
          <w:color w:val="000000"/>
          <w:kern w:val="2"/>
          <w:sz w:val="32"/>
          <w:szCs w:val="32"/>
          <w:lang w:val="en-US" w:eastAsia="zh-CN" w:bidi="ar-SA"/>
        </w:rPr>
        <w:t>一是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《中华人民共和国生态环境法典》颁布实施，原有管理依据、执法条款需要衔接更新；</w:t>
      </w:r>
      <w:r>
        <w:rPr>
          <w:rFonts w:hint="eastAsia" w:ascii="楷体_GB2312" w:hAnsi="楷体" w:eastAsia="楷体_GB2312" w:cs="楷体"/>
          <w:b/>
          <w:bCs/>
          <w:color w:val="000000"/>
          <w:kern w:val="2"/>
          <w:sz w:val="32"/>
          <w:szCs w:val="32"/>
          <w:lang w:val="en-US" w:eastAsia="zh-CN" w:bidi="ar-SA"/>
        </w:rPr>
        <w:t>二是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我市城市建设加快，建筑垃圾量持续增长，非法倾倒、沿途遗撒、扬尘污染等问题突出；</w:t>
      </w:r>
      <w:r>
        <w:rPr>
          <w:rFonts w:hint="eastAsia" w:ascii="楷体_GB2312" w:hAnsi="楷体" w:eastAsia="楷体_GB2312" w:cs="楷体"/>
          <w:b/>
          <w:bCs/>
          <w:color w:val="000000"/>
          <w:kern w:val="2"/>
          <w:sz w:val="32"/>
          <w:szCs w:val="32"/>
          <w:lang w:val="en-US" w:eastAsia="zh-CN" w:bidi="ar-SA"/>
        </w:rPr>
        <w:t>三是《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龙岩市扬尘污染防治条例》实施后，规划区内外扬尘执法主体需进一步明确；</w:t>
      </w:r>
      <w:r>
        <w:rPr>
          <w:rFonts w:hint="eastAsia" w:ascii="楷体_GB2312" w:hAnsi="楷体" w:eastAsia="楷体_GB2312" w:cs="楷体"/>
          <w:b/>
          <w:bCs/>
          <w:color w:val="000000"/>
          <w:kern w:val="2"/>
          <w:sz w:val="32"/>
          <w:szCs w:val="32"/>
          <w:lang w:val="en-US" w:eastAsia="zh-CN" w:bidi="ar-SA"/>
        </w:rPr>
        <w:t>四是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现行办法部分条款不适应新形势，亟需修订完善。</w:t>
      </w:r>
    </w:p>
    <w:p w14:paraId="36C5E6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二、起草必要性</w:t>
      </w:r>
    </w:p>
    <w:p w14:paraId="04CFBD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楷体"/>
          <w:b/>
          <w:bCs/>
          <w:color w:val="000000"/>
          <w:kern w:val="2"/>
          <w:sz w:val="32"/>
          <w:szCs w:val="32"/>
          <w:lang w:val="en-US" w:eastAsia="zh-CN" w:bidi="ar-SA"/>
        </w:rPr>
        <w:t>一是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落实上位法要求，确保执法依据合法合规；</w:t>
      </w:r>
      <w:r>
        <w:rPr>
          <w:rFonts w:hint="eastAsia" w:ascii="楷体_GB2312" w:hAnsi="楷体" w:eastAsia="楷体_GB2312" w:cs="楷体"/>
          <w:b/>
          <w:bCs/>
          <w:color w:val="000000"/>
          <w:kern w:val="2"/>
          <w:sz w:val="32"/>
          <w:szCs w:val="32"/>
          <w:lang w:val="en-US" w:eastAsia="zh-CN" w:bidi="ar-SA"/>
        </w:rPr>
        <w:t>二是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解决建筑垃圾处置突出问题，提升城市精细化管理水平；</w:t>
      </w:r>
      <w:r>
        <w:rPr>
          <w:rFonts w:hint="eastAsia" w:ascii="楷体_GB2312" w:hAnsi="楷体" w:eastAsia="楷体_GB2312" w:cs="楷体"/>
          <w:b/>
          <w:bCs/>
          <w:color w:val="000000"/>
          <w:kern w:val="2"/>
          <w:sz w:val="32"/>
          <w:szCs w:val="32"/>
          <w:lang w:val="en-US" w:eastAsia="zh-CN" w:bidi="ar-SA"/>
        </w:rPr>
        <w:t>三是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厘清城管、住建、交通、公安交管等部门职责，健全协同监管机制；</w:t>
      </w:r>
      <w:r>
        <w:rPr>
          <w:rFonts w:hint="eastAsia" w:ascii="楷体_GB2312" w:hAnsi="楷体" w:eastAsia="楷体_GB2312" w:cs="楷体"/>
          <w:b/>
          <w:bCs/>
          <w:color w:val="000000"/>
          <w:kern w:val="2"/>
          <w:sz w:val="32"/>
          <w:szCs w:val="32"/>
          <w:lang w:val="en-US" w:eastAsia="zh-CN" w:bidi="ar-SA"/>
        </w:rPr>
        <w:t>四是</w:t>
      </w: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强化扬尘治理，推进建筑垃圾减量化、资源化、无害化利用，改善人居环境。</w:t>
      </w:r>
    </w:p>
    <w:p w14:paraId="722248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三、起草依据</w:t>
      </w:r>
    </w:p>
    <w:p w14:paraId="55A074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依据《中华人民共和国生态环境法典》《城市市容和环境卫生管理条例》《城市建筑垃圾管理规定》《龙岩市扬尘污染防治条例》《福建省城市市容和环境卫生管理办法》等国家、省、市法律法规及政策文件。</w:t>
      </w:r>
    </w:p>
    <w:p w14:paraId="1C2F98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四、修订的主要内容</w:t>
      </w:r>
    </w:p>
    <w:p w14:paraId="0D97F43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1.更新立法依据与核心定义。在第一条增加《中华人民共和国生态环境法典》作为立法依据；第二条第二款建筑垃圾定义直接引用《生态环境法典》表述，保持上位法一致。</w:t>
      </w:r>
    </w:p>
    <w:p w14:paraId="03CB1D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2.调整执法依据与扬尘管控条款。</w:t>
      </w:r>
    </w:p>
    <w:p w14:paraId="7C3C50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第三十九条：城管部门执法依据由《大气污染防治法》调整为《中华人民共和国生态环境法典》、《龙岩市扬尘污染防治条例》；将“未密闭防遗撒”修改为“城市规划区内未采取扬尘污染防治措施”。</w:t>
      </w:r>
    </w:p>
    <w:p w14:paraId="60A335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第四十一条：交通运输部门新增处罚情形，明确“城市规划区外运输建筑垃圾未采取扬尘污染防治措施”的监管责任，依据《龙岩市扬尘污染防治条例》划分执法权限。</w:t>
      </w:r>
    </w:p>
    <w:p w14:paraId="7D5892B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规范施工扬尘违法情形与依据。第四十条：住建部门执法依据调整为《生态环境法典》；将“各类建筑垃圾未清运、未遮盖”修改为“建筑土方未及时清运、堆存未遮盖”，与上位法处罚情形完全一致。</w:t>
      </w:r>
    </w:p>
    <w:p w14:paraId="36A5B1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健全全链条管理机制。完善核准制、全程监管、台账管理；强化工地源头围挡、冲洗、监控接入；规范运输准入、密闭、路线、信用考核；明确消纳场规划、审批、运营、封场及资源化利用要求。</w:t>
      </w:r>
    </w:p>
    <w:p w14:paraId="791BF7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5.完善监督与法律责任。建立信息共享、联合执法、失信惩戒、公众举报机制；按部门、按规划区内外细化违法情形与处罚条款，增强可操作性。</w:t>
      </w:r>
    </w:p>
    <w:p w14:paraId="722502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6D106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40" w:firstLineChars="200"/>
        <w:jc w:val="both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82061"/>
    <w:rsid w:val="5D382DE5"/>
    <w:rsid w:val="67C3769D"/>
    <w:rsid w:val="71141ED0"/>
    <w:rsid w:val="7977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line="481" w:lineRule="atLeast"/>
      <w:ind w:firstLine="623"/>
      <w:textAlignment w:val="baseline"/>
    </w:pPr>
    <w:rPr>
      <w:rFonts w:ascii="Times New Roman" w:eastAsia="仿宋_GB2312"/>
      <w:color w:val="000000"/>
      <w:sz w:val="3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751</Characters>
  <Lines>0</Lines>
  <Paragraphs>0</Paragraphs>
  <TotalTime>5</TotalTime>
  <ScaleCrop>false</ScaleCrop>
  <LinksUpToDate>false</LinksUpToDate>
  <CharactersWithSpaces>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2026-05-26T00:56:00Z</dcterms:created>
  <dc:creator>Administrator</dc:creator>
  <cp:lastModifiedBy>张大燕会飞</cp:lastModifiedBy>
  <dcterms:modified xsi:type="dcterms:W3CDTF">2026-05-27T01:27:23Z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eyJoZGlkIjoiZmIyZDg2ZDJmNTY1NjJlZWNjNjkzY2U4Y2UyMTA3ZTEiLCJ1c2VySWQiOiI0NDkwODY4NDQifQ==</vt:lpwstr>
  </property>
  <property fmtid="{D5CDD505-2E9C-101B-9397-08002B2CF9AE}" pid="4" name="ICV">
    <vt:lpwstr>2CDFE5CB15F84719B7C5C8F8DB35E9F3_12</vt:lpwstr>
  </property>
</Properties>
</file>