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AB9CDA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880" w:firstLineChars="200"/>
        <w:jc w:val="center"/>
        <w:textAlignment w:val="auto"/>
        <w:rPr>
          <w:rStyle w:val="6"/>
          <w:rFonts w:hint="eastAsia" w:ascii="Times New Roman" w:hAnsi="Times New Roman" w:eastAsia="方正小标宋简体" w:cs="Times New Roman"/>
          <w:kern w:val="2"/>
          <w:sz w:val="44"/>
          <w:szCs w:val="44"/>
          <w:lang w:val="en-US" w:eastAsia="zh-CN" w:bidi="ar-SA"/>
        </w:rPr>
      </w:pPr>
      <w:r>
        <w:rPr>
          <w:rStyle w:val="6"/>
          <w:rFonts w:hint="eastAsia" w:ascii="Times New Roman" w:hAnsi="Times New Roman" w:eastAsia="方正小标宋简体" w:cs="Times New Roman"/>
          <w:kern w:val="2"/>
          <w:sz w:val="44"/>
          <w:szCs w:val="44"/>
          <w:lang w:val="en-US" w:eastAsia="zh-CN" w:bidi="ar-SA"/>
        </w:rPr>
        <w:t>《龙岩市建筑垃圾处置管理办法</w:t>
      </w:r>
    </w:p>
    <w:p w14:paraId="246A4764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880" w:firstLineChars="200"/>
        <w:jc w:val="center"/>
        <w:textAlignment w:val="auto"/>
        <w:rPr>
          <w:rStyle w:val="6"/>
          <w:rFonts w:hint="eastAsia" w:ascii="Times New Roman" w:hAnsi="Times New Roman" w:eastAsia="方正小标宋简体" w:cs="Times New Roman"/>
          <w:kern w:val="2"/>
          <w:sz w:val="44"/>
          <w:szCs w:val="44"/>
          <w:lang w:val="en-US" w:eastAsia="zh-CN" w:bidi="ar-SA"/>
        </w:rPr>
      </w:pPr>
      <w:r>
        <w:rPr>
          <w:rStyle w:val="6"/>
          <w:rFonts w:hint="eastAsia" w:ascii="Times New Roman" w:hAnsi="Times New Roman" w:eastAsia="方正小标宋简体" w:cs="Times New Roman"/>
          <w:kern w:val="2"/>
          <w:sz w:val="44"/>
          <w:szCs w:val="44"/>
          <w:lang w:val="en-US" w:eastAsia="zh-CN" w:bidi="ar-SA"/>
        </w:rPr>
        <w:t>（修订）》起草说明</w:t>
      </w:r>
    </w:p>
    <w:p w14:paraId="3B884447">
      <w:pPr>
        <w:spacing w:line="600" w:lineRule="exact"/>
        <w:jc w:val="center"/>
        <w:rPr>
          <w:rFonts w:ascii="楷体_GB2312" w:hAnsi="仿宋" w:eastAsia="楷体_GB2312" w:cs="仿宋"/>
          <w:color w:val="000000"/>
          <w:sz w:val="32"/>
          <w:szCs w:val="32"/>
        </w:rPr>
      </w:pPr>
      <w:r>
        <w:rPr>
          <w:rFonts w:hint="eastAsia" w:ascii="楷体_GB2312" w:hAnsi="仿宋" w:eastAsia="楷体_GB2312" w:cs="仿宋"/>
          <w:color w:val="000000"/>
          <w:sz w:val="32"/>
          <w:szCs w:val="32"/>
        </w:rPr>
        <w:t>龙岩市城市管理局</w:t>
      </w:r>
    </w:p>
    <w:p w14:paraId="4A4ABE18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880" w:firstLineChars="200"/>
        <w:jc w:val="center"/>
        <w:textAlignment w:val="auto"/>
        <w:rPr>
          <w:rStyle w:val="6"/>
          <w:rFonts w:hint="eastAsia" w:ascii="Times New Roman" w:hAnsi="Times New Roman" w:eastAsia="方正小标宋简体" w:cs="Times New Roman"/>
          <w:kern w:val="2"/>
          <w:sz w:val="44"/>
          <w:szCs w:val="44"/>
          <w:lang w:val="en-US" w:eastAsia="zh-CN" w:bidi="ar-SA"/>
        </w:rPr>
      </w:pPr>
    </w:p>
    <w:p w14:paraId="73C3AB30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Style w:val="6"/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Style w:val="6"/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为进一步规范我市建筑垃圾处置秩序，加强扬尘污染防治，健全建筑垃圾全过程监管机制，依据国家、省、市有关法律法规和政策规定，结合我市实际，对《龙岩市建筑垃圾处置管理办法》进行修订。现将有关起草情况说明如下：</w:t>
      </w:r>
    </w:p>
    <w:p w14:paraId="49DE9B60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Style w:val="6"/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Times New Roman"/>
          <w:color w:val="000000"/>
          <w:kern w:val="2"/>
          <w:sz w:val="32"/>
          <w:szCs w:val="32"/>
          <w:lang w:val="en-US" w:eastAsia="zh-CN" w:bidi="ar-SA"/>
        </w:rPr>
        <w:t>一、起草背景</w:t>
      </w:r>
      <w:r>
        <w:rPr>
          <w:rStyle w:val="6"/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ab/>
      </w:r>
    </w:p>
    <w:p w14:paraId="7FB86135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3" w:firstLineChars="200"/>
        <w:jc w:val="both"/>
        <w:textAlignment w:val="auto"/>
        <w:rPr>
          <w:rStyle w:val="6"/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" w:eastAsia="楷体_GB2312" w:cs="楷体"/>
          <w:b/>
          <w:bCs/>
          <w:color w:val="000000"/>
          <w:kern w:val="2"/>
          <w:sz w:val="32"/>
          <w:szCs w:val="32"/>
          <w:lang w:val="en-US" w:eastAsia="zh-CN" w:bidi="ar-SA"/>
        </w:rPr>
        <w:t>一是</w:t>
      </w:r>
      <w:r>
        <w:rPr>
          <w:rStyle w:val="6"/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《中华人民共和国生态环境法典》颁布实施，原有管理依据、执法条款需要衔接更新；</w:t>
      </w:r>
      <w:r>
        <w:rPr>
          <w:rFonts w:hint="eastAsia" w:ascii="楷体_GB2312" w:hAnsi="楷体" w:eastAsia="楷体_GB2312" w:cs="楷体"/>
          <w:b/>
          <w:bCs/>
          <w:color w:val="000000"/>
          <w:kern w:val="2"/>
          <w:sz w:val="32"/>
          <w:szCs w:val="32"/>
          <w:lang w:val="en-US" w:eastAsia="zh-CN" w:bidi="ar-SA"/>
        </w:rPr>
        <w:t>二是</w:t>
      </w:r>
      <w:r>
        <w:rPr>
          <w:rStyle w:val="6"/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我市城市建设加快，建筑垃圾量持续增长，非法倾倒、沿途遗撒、扬尘污染等问题突出；</w:t>
      </w:r>
      <w:r>
        <w:rPr>
          <w:rFonts w:hint="eastAsia" w:ascii="楷体_GB2312" w:hAnsi="楷体" w:eastAsia="楷体_GB2312" w:cs="楷体"/>
          <w:b/>
          <w:bCs/>
          <w:color w:val="000000"/>
          <w:kern w:val="2"/>
          <w:sz w:val="32"/>
          <w:szCs w:val="32"/>
          <w:lang w:val="en-US" w:eastAsia="zh-CN" w:bidi="ar-SA"/>
        </w:rPr>
        <w:t>三是《</w:t>
      </w:r>
      <w:r>
        <w:rPr>
          <w:rStyle w:val="6"/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龙岩市扬尘污染防治条例》实施后，规划区内外扬尘执法主体需进一步明确；</w:t>
      </w:r>
      <w:r>
        <w:rPr>
          <w:rFonts w:hint="eastAsia" w:ascii="楷体_GB2312" w:hAnsi="楷体" w:eastAsia="楷体_GB2312" w:cs="楷体"/>
          <w:b/>
          <w:bCs/>
          <w:color w:val="000000"/>
          <w:kern w:val="2"/>
          <w:sz w:val="32"/>
          <w:szCs w:val="32"/>
          <w:lang w:val="en-US" w:eastAsia="zh-CN" w:bidi="ar-SA"/>
        </w:rPr>
        <w:t>四是</w:t>
      </w:r>
      <w:r>
        <w:rPr>
          <w:rStyle w:val="6"/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现行办法部分条款不适应新形势，亟需修订完善。</w:t>
      </w:r>
    </w:p>
    <w:p w14:paraId="36C5E60D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Fonts w:hint="eastAsia" w:ascii="黑体" w:hAnsi="黑体" w:eastAsia="黑体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Times New Roman"/>
          <w:color w:val="000000"/>
          <w:kern w:val="2"/>
          <w:sz w:val="32"/>
          <w:szCs w:val="32"/>
          <w:lang w:val="en-US" w:eastAsia="zh-CN" w:bidi="ar-SA"/>
        </w:rPr>
        <w:t>二、起草必要性</w:t>
      </w:r>
    </w:p>
    <w:p w14:paraId="04CFBDE2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3" w:firstLineChars="200"/>
        <w:jc w:val="both"/>
        <w:textAlignment w:val="auto"/>
        <w:rPr>
          <w:rStyle w:val="6"/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" w:eastAsia="楷体_GB2312" w:cs="楷体"/>
          <w:b/>
          <w:bCs/>
          <w:color w:val="000000"/>
          <w:kern w:val="2"/>
          <w:sz w:val="32"/>
          <w:szCs w:val="32"/>
          <w:lang w:val="en-US" w:eastAsia="zh-CN" w:bidi="ar-SA"/>
        </w:rPr>
        <w:t>一是</w:t>
      </w:r>
      <w:r>
        <w:rPr>
          <w:rStyle w:val="6"/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落实上位法要求，确保执法依据合法合规；</w:t>
      </w:r>
      <w:r>
        <w:rPr>
          <w:rFonts w:hint="eastAsia" w:ascii="楷体_GB2312" w:hAnsi="楷体" w:eastAsia="楷体_GB2312" w:cs="楷体"/>
          <w:b/>
          <w:bCs/>
          <w:color w:val="000000"/>
          <w:kern w:val="2"/>
          <w:sz w:val="32"/>
          <w:szCs w:val="32"/>
          <w:lang w:val="en-US" w:eastAsia="zh-CN" w:bidi="ar-SA"/>
        </w:rPr>
        <w:t>二是</w:t>
      </w:r>
      <w:r>
        <w:rPr>
          <w:rStyle w:val="6"/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解决建筑垃圾处置突出问题，提升城市精细化管理水平；</w:t>
      </w:r>
      <w:r>
        <w:rPr>
          <w:rFonts w:hint="eastAsia" w:ascii="楷体_GB2312" w:hAnsi="楷体" w:eastAsia="楷体_GB2312" w:cs="楷体"/>
          <w:b/>
          <w:bCs/>
          <w:color w:val="000000"/>
          <w:kern w:val="2"/>
          <w:sz w:val="32"/>
          <w:szCs w:val="32"/>
          <w:lang w:val="en-US" w:eastAsia="zh-CN" w:bidi="ar-SA"/>
        </w:rPr>
        <w:t>三是</w:t>
      </w:r>
      <w:r>
        <w:rPr>
          <w:rStyle w:val="6"/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厘清城管、住建、交通、公安交管等部门职责，健全协同监管机制；</w:t>
      </w:r>
      <w:r>
        <w:rPr>
          <w:rFonts w:hint="eastAsia" w:ascii="楷体_GB2312" w:hAnsi="楷体" w:eastAsia="楷体_GB2312" w:cs="楷体"/>
          <w:b/>
          <w:bCs/>
          <w:color w:val="000000"/>
          <w:kern w:val="2"/>
          <w:sz w:val="32"/>
          <w:szCs w:val="32"/>
          <w:lang w:val="en-US" w:eastAsia="zh-CN" w:bidi="ar-SA"/>
        </w:rPr>
        <w:t>四是</w:t>
      </w:r>
      <w:r>
        <w:rPr>
          <w:rStyle w:val="6"/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强化扬尘治理，推进建筑垃圾减量化、资源化、无害化利用，改善人居环境。</w:t>
      </w:r>
    </w:p>
    <w:p w14:paraId="72224844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Fonts w:hint="eastAsia" w:ascii="黑体" w:hAnsi="黑体" w:eastAsia="黑体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Times New Roman"/>
          <w:color w:val="000000"/>
          <w:kern w:val="2"/>
          <w:sz w:val="32"/>
          <w:szCs w:val="32"/>
          <w:lang w:val="en-US" w:eastAsia="zh-CN" w:bidi="ar-SA"/>
        </w:rPr>
        <w:t>三、起草依据</w:t>
      </w:r>
    </w:p>
    <w:p w14:paraId="55A0749A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Style w:val="6"/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Style w:val="6"/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主要依据《中华人民共和国生态环境法典》《城市市容和环境卫生管理条例》《城市建筑垃圾管理规定》《龙岩市扬尘污染防治条例》《福建省城市市容和环境卫生管理办法》等国家、省、市法律法规及政策文件。</w:t>
      </w:r>
    </w:p>
    <w:p w14:paraId="1C2F9850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Fonts w:hint="eastAsia" w:ascii="黑体" w:hAnsi="黑体" w:eastAsia="黑体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Times New Roman"/>
          <w:color w:val="000000"/>
          <w:kern w:val="2"/>
          <w:sz w:val="32"/>
          <w:szCs w:val="32"/>
          <w:lang w:val="en-US" w:eastAsia="zh-CN" w:bidi="ar-SA"/>
        </w:rPr>
        <w:t>四、修订的主要内容</w:t>
      </w:r>
    </w:p>
    <w:p w14:paraId="0D97F437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Style w:val="6"/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Style w:val="6"/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1.更新立法依据与核心定义。在第一条增加《中华人民共和国生态环境法典》作为立法依据；第二条第二款建筑垃圾定义直接引用《生态环境法典》表述，保持上位法一致。</w:t>
      </w:r>
    </w:p>
    <w:p w14:paraId="03CB1DF7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Style w:val="6"/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Style w:val="6"/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2.调整执法依据与扬尘管控条款。</w:t>
      </w:r>
    </w:p>
    <w:p w14:paraId="7C3C50AD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Style w:val="6"/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Style w:val="6"/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第三十九条：城管部门执法依据由《大气污染防治法》调整为《中华人民共和国生态环境法典》、《龙岩市扬尘污染防治条例》；将“未密闭防遗撒”修改为“城市规划区内未采取扬尘污染防治措施”。</w:t>
      </w:r>
    </w:p>
    <w:p w14:paraId="60A3359A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Style w:val="6"/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Style w:val="6"/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第四十一条：交通运输部门新增处罚情形，明确“城市规划区外运输建筑垃圾未采取扬尘污染防治措施”的监管责任，依据《龙岩市扬尘污染防治条例》划分执法权限。</w:t>
      </w:r>
    </w:p>
    <w:p w14:paraId="7D5892BE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Style w:val="6"/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Style w:val="6"/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3. 规范施工扬尘违法情形与依据。第四十条：住建部门执法依据调整为《生态环境法典》；将“各类建筑垃圾未清运、未遮盖”修改为“建筑土方未及时清运、堆存未遮盖”，与上位法处罚情形完全一致。</w:t>
      </w:r>
    </w:p>
    <w:p w14:paraId="36A5B156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Style w:val="6"/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Style w:val="6"/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4.</w:t>
      </w:r>
      <w:bookmarkStart w:id="0" w:name="_GoBack"/>
      <w:bookmarkEnd w:id="0"/>
      <w:r>
        <w:rPr>
          <w:rStyle w:val="6"/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健全全链条管理机制。完善核准制、全程监管、台账管理；强化工地源头围挡、冲洗、监控接入；规范运输准入、密闭、路线、信用考核；明确消纳场规划、审批、运营、封场及资源化利用要求。</w:t>
      </w:r>
    </w:p>
    <w:p w14:paraId="791BF791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Style w:val="6"/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Style w:val="6"/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5.完善监督与法律责任。建立信息共享、联合执法、失信惩戒、公众举报机制；按部门、按规划区内外细化违法情形与处罚条款，增强可操作性。</w:t>
      </w:r>
    </w:p>
    <w:p w14:paraId="72250282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 w:firstLineChars="200"/>
        <w:jc w:val="both"/>
        <w:textAlignment w:val="auto"/>
        <w:rPr>
          <w:rStyle w:val="6"/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 w14:paraId="26D106E1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840" w:firstLineChars="200"/>
        <w:jc w:val="both"/>
        <w:textAlignment w:val="auto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42"/>
          <w:szCs w:val="42"/>
          <w:shd w:val="clear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382061"/>
    <w:rsid w:val="5D382DE5"/>
    <w:rsid w:val="67C3769D"/>
    <w:rsid w:val="71141ED0"/>
    <w:rsid w:val="79776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Style 1"/>
    <w:basedOn w:val="1"/>
    <w:qFormat/>
    <w:uiPriority w:val="0"/>
    <w:pPr>
      <w:spacing w:line="481" w:lineRule="atLeast"/>
      <w:ind w:firstLine="623"/>
      <w:textAlignment w:val="baseline"/>
    </w:pPr>
    <w:rPr>
      <w:rFonts w:ascii="Times New Roman" w:eastAsia="仿宋_GB2312"/>
      <w:color w:val="000000"/>
      <w:sz w:val="31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6">
    <w:name w:val="NormalCharacter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743</Words>
  <Characters>751</Characters>
  <Lines>0</Lines>
  <Paragraphs>0</Paragraphs>
  <TotalTime>5</TotalTime>
  <ScaleCrop>false</ScaleCrop>
  <LinksUpToDate>false</LinksUpToDate>
  <CharactersWithSpaces>752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2026-05-26T00:56:00Z</dcterms:created>
  <dc:creator>Administrator</dc:creator>
  <cp:lastModifiedBy>张大燕会飞</cp:lastModifiedBy>
  <dcterms:modified xsi:type="dcterms:W3CDTF">2026-05-27T01:27:23Z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eyJoZGlkIjoiZmIyZDg2ZDJmNTY1NjJlZWNjNjkzY2U4Y2UyMTA3ZTEiLCJ1c2VySWQiOiI0NDkwODY4NDQifQ==</vt:lpwstr>
  </property>
  <property fmtid="{D5CDD505-2E9C-101B-9397-08002B2CF9AE}" pid="4" name="ICV">
    <vt:lpwstr>2CDFE5CB15F84719B7C5C8F8DB35E9F3_12</vt:lpwstr>
  </property>
</Properties>
</file>